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36" w:name="content"/>
    <w:bookmarkStart w:id="35" w:name="Xf6fd98ddadea85a4ea44a8774546e8b9e3698a5"/>
    <w:p>
      <w:pPr>
        <w:pStyle w:val="Heading1"/>
      </w:pPr>
      <w:r>
        <w:t xml:space="preserve">Navigating the “Technology Mandate” and the Privilege Trap in AI Transcription</w:t>
      </w:r>
    </w:p>
    <w:bookmarkStart w:id="21" w:name="executive-summary"/>
    <w:p>
      <w:pPr>
        <w:pStyle w:val="Heading2"/>
      </w:pPr>
      <w:r>
        <w:t xml:space="preserve">Executive Summary</w:t>
      </w:r>
    </w:p>
    <w:p>
      <w:pPr>
        <w:pStyle w:val="FirstParagraph"/>
      </w:pPr>
      <w:r>
        <w:t xml:space="preserve">I’m Matt Mishak. I practice at the intersection of law and technology, and I believe the profession is approaching an avoidable crash: ethics rules and ethics guidance increasingly push lawyers toward using modern technology to improve speed, accuracy, and cost for clients, while recent authority is beginning to treat some common, consumer-grade AI workflows as a</w:t>
      </w:r>
      <w:r>
        <w:t xml:space="preserve"> </w:t>
      </w:r>
      <w:r>
        <w:rPr>
          <w:i/>
          <w:iCs/>
        </w:rPr>
        <w:t xml:space="preserve">third‑party disclosure that defeats confidentiality</w:t>
      </w:r>
      <w:r>
        <w:t xml:space="preserve">—and, in turn, destroys privilege. The collision is most obvious in AI transcription and “meeting notetaker” tools (e.g., Otter.ai and its peers), which “attend” calls, record, transcribe, summarize, and store outputs in vendor-controlled systems. Those outputs are attractive for competence and access-to-justice reasons—especially in high-volume, high-stakes practices where clients cannot afford inefficiency—but they can also create a new discoverable record, a new retention burden, and (depending on vendor terms, training practices, and security controls) a new</w:t>
      </w:r>
      <w:r>
        <w:t xml:space="preserve"> </w:t>
      </w:r>
      <w:r>
        <w:rPr>
          <w:i/>
          <w:iCs/>
        </w:rPr>
        <w:t xml:space="preserve">waiver</w:t>
      </w:r>
      <w:r>
        <w:t xml:space="preserve"> </w:t>
      </w:r>
      <w:r>
        <w:t xml:space="preserve">theory.</w:t>
      </w:r>
    </w:p>
    <w:p>
      <w:pPr>
        <w:pStyle w:val="BodyText"/>
      </w:pPr>
      <w:r>
        <w:t xml:space="preserve">That tension is no longer theoretical. In</w:t>
      </w:r>
      <w:r>
        <w:t xml:space="preserve"> </w:t>
      </w:r>
      <w:r>
        <w:rPr>
          <w:b/>
          <w:bCs/>
        </w:rPr>
        <w:t xml:space="preserve">United States v. Heppner</w:t>
      </w:r>
      <w:r>
        <w:t xml:space="preserve"> </w:t>
      </w:r>
      <w:r>
        <w:t xml:space="preserve">(S.D.N.Y. Feb. 10, 2026), Judge rejected privilege claims over documents the defendant generated by querying an AI tool and then sharing with counsel. The court’s reasoning was not limited to “no attorney was involved.” It also emphasized confidentiality failure: information learned from counsel was provided to an AI provider under terms the court understood as expressly nonconfidential—i.e., the defendant “disclosed it to a third party,” undermining privilege at the threshold.</w:t>
      </w:r>
    </w:p>
    <w:p>
      <w:pPr>
        <w:pStyle w:val="BodyText"/>
      </w:pPr>
      <w:r>
        <w:t xml:space="preserve">At the same time, major ethics guidance—especially</w:t>
      </w:r>
      <w:r>
        <w:t xml:space="preserve"> </w:t>
      </w:r>
      <w:r>
        <w:rPr>
          <w:b/>
          <w:bCs/>
        </w:rPr>
        <w:t xml:space="preserve">ABA Formal Opinion 512</w:t>
      </w:r>
      <w:r>
        <w:t xml:space="preserve">—frames generative AI as a tool lawyers may use to increase efficiency and quality, but only if lawyers manage competence, confidentiality, client communication, supervision, and billing. It repeatedly warns that lawyers must understand tool capabilities and confidentiality risk and must remain vigilant because the technology is a “rapidly moving target.”</w:t>
      </w:r>
    </w:p>
    <w:p>
      <w:pPr>
        <w:pStyle w:val="BodyText"/>
      </w:pPr>
      <w:r>
        <w:t xml:space="preserve">In my view, the profession needs rule-level reform—not just “best practices.” We need an explicit, technologically literate safe harbor that treats properly vetted AI transcription providers and related “digital legal assistants” as modern equivalents of interpreters, investigators, and e‑discovery vendors—</w:t>
      </w:r>
      <w:r>
        <w:rPr>
          <w:i/>
          <w:iCs/>
        </w:rPr>
        <w:t xml:space="preserve">when</w:t>
      </w:r>
      <w:r>
        <w:t xml:space="preserve"> </w:t>
      </w:r>
      <w:r>
        <w:t xml:space="preserve">they are used under attorney direction with enforceable confidentiality commitments, limited retention, no training on client data, and meaningful security controls. This report proposes concrete amendments to the</w:t>
      </w:r>
      <w:r>
        <w:t xml:space="preserve"> </w:t>
      </w:r>
      <w:r>
        <w:rPr>
          <w:b/>
          <w:bCs/>
        </w:rPr>
        <w:t xml:space="preserve">ABA Model Rules</w:t>
      </w:r>
      <w:r>
        <w:t xml:space="preserve"> </w:t>
      </w:r>
      <w:r>
        <w:t xml:space="preserve">(especially Rules 1.1, 1.4, 1.6, 1.15 and related commentary) and to the</w:t>
      </w:r>
      <w:r>
        <w:t xml:space="preserve"> </w:t>
      </w:r>
      <w:r>
        <w:rPr>
          <w:b/>
          <w:bCs/>
        </w:rPr>
        <w:t xml:space="preserve">Federal Rules of Evidence</w:t>
      </w:r>
      <w:r>
        <w:t xml:space="preserve">—most realistically through a targeted expansion of</w:t>
      </w:r>
      <w:r>
        <w:t xml:space="preserve"> </w:t>
      </w:r>
      <w:r>
        <w:rPr>
          <w:b/>
          <w:bCs/>
        </w:rPr>
        <w:t xml:space="preserve">FRE 502</w:t>
      </w:r>
      <w:r>
        <w:t xml:space="preserve">—with suggested state parallels for , , , and .</w:t>
      </w:r>
    </w:p>
    <w:bookmarkEnd w:id="21"/>
    <w:bookmarkStart w:id="22" w:name="the-ethical-technology-mandate"/>
    <w:p>
      <w:pPr>
        <w:pStyle w:val="Heading2"/>
      </w:pPr>
      <w:r>
        <w:t xml:space="preserve">The Ethical Technology Mandate</w:t>
      </w:r>
    </w:p>
    <w:p>
      <w:pPr>
        <w:pStyle w:val="FirstParagraph"/>
      </w:pPr>
      <w:r>
        <w:t xml:space="preserve">The modern “technology mandate” is not usually phrased as “you must use AI.” It emerges from a cluster of duties that, in practice, pressure lawyers toward effective technology adoption.</w:t>
      </w:r>
    </w:p>
    <w:p>
      <w:pPr>
        <w:pStyle w:val="BodyText"/>
      </w:pPr>
      <w:r>
        <w:t xml:space="preserve">Competence is the starting point.</w:t>
      </w:r>
      <w:r>
        <w:t xml:space="preserve"> </w:t>
      </w:r>
      <w:r>
        <w:rPr>
          <w:b/>
          <w:bCs/>
        </w:rPr>
        <w:t xml:space="preserve">ABA Model Rule 1.1, Comment [8]</w:t>
      </w:r>
      <w:r>
        <w:t xml:space="preserve"> </w:t>
      </w:r>
      <w:r>
        <w:t xml:space="preserve">explicitly ties competence to “the benefits and risks associated with relevant technology.” This is not mere permission; it is a professional expectation: if technology is “relevant” to modern law practice, competence includes understanding it sufficiently to avoid harming clients through ignorance.</w:t>
      </w:r>
    </w:p>
    <w:p>
      <w:pPr>
        <w:pStyle w:val="BodyText"/>
      </w:pPr>
      <w:r>
        <w:t xml:space="preserve">Confidentiality then operationalizes competence.</w:t>
      </w:r>
      <w:r>
        <w:t xml:space="preserve"> </w:t>
      </w:r>
      <w:r>
        <w:rPr>
          <w:b/>
          <w:bCs/>
        </w:rPr>
        <w:t xml:space="preserve">ABA Model Rule 1.6(c)</w:t>
      </w:r>
      <w:r>
        <w:t xml:space="preserve"> </w:t>
      </w:r>
      <w:r>
        <w:t xml:space="preserve">requires “reasonable efforts” to prevent unauthorized access to information relating to representation. The</w:t>
      </w:r>
      <w:r>
        <w:t xml:space="preserve"> </w:t>
      </w:r>
      <w:r>
        <w:rPr>
          <w:b/>
          <w:bCs/>
        </w:rPr>
        <w:t xml:space="preserve">Rule 1.6 commentary</w:t>
      </w:r>
      <w:r>
        <w:t xml:space="preserve"> </w:t>
      </w:r>
      <w:r>
        <w:t xml:space="preserve">sets a multi-factor reasonableness test that is expressly pragmatic: it weighs sensitivity, likelihood of disclosure, cost, difficulty, and the extent to which safeguards adversely affect the lawyer’s ability to represent clients. In other words, ethics doctrine already knows that security controls can become access barriers.</w:t>
      </w:r>
    </w:p>
    <w:p>
      <w:pPr>
        <w:pStyle w:val="BodyText"/>
      </w:pPr>
      <w:r>
        <w:t xml:space="preserve">Communication makes the mandate client-facing.</w:t>
      </w:r>
      <w:r>
        <w:t xml:space="preserve"> </w:t>
      </w:r>
      <w:r>
        <w:rPr>
          <w:b/>
          <w:bCs/>
        </w:rPr>
        <w:t xml:space="preserve">ABA Model Rule 1.4(a)</w:t>
      </w:r>
      <w:r>
        <w:t xml:space="preserve"> </w:t>
      </w:r>
      <w:r>
        <w:t xml:space="preserve">requires reasonable consultation about “the means” to accomplish client objectives, and the Rule 1.4 commentary emphasizes enabling informed client decisions. When AI transcription changes risk, record creation, and cost, a lawyer’s “means” analysis and informed consent framework are implicated.</w:t>
      </w:r>
    </w:p>
    <w:p>
      <w:pPr>
        <w:pStyle w:val="BodyText"/>
      </w:pPr>
      <w:r>
        <w:t xml:space="preserve">Safekeeping property completes the loop.</w:t>
      </w:r>
      <w:r>
        <w:t xml:space="preserve"> </w:t>
      </w:r>
      <w:r>
        <w:rPr>
          <w:b/>
          <w:bCs/>
        </w:rPr>
        <w:t xml:space="preserve">ABA Model Rule 1.15(a)</w:t>
      </w:r>
      <w:r>
        <w:t xml:space="preserve"> </w:t>
      </w:r>
      <w:r>
        <w:t xml:space="preserve">requires safeguarding client property; in a technology-saturated practice, “property” increasingly includes digital files, recordings, transcripts, and generated work product that will be subject to retention rules, litigation holds, and client file-transfer obligations. Even where authorities debate how directly Rule 1.15 maps onto electronic “property,” modern guidance trends toward treating digital materials as within the lawyer’s fiduciary safeguarding obligation.</w:t>
      </w:r>
    </w:p>
    <w:p>
      <w:pPr>
        <w:pStyle w:val="BodyText"/>
      </w:pPr>
      <w:r>
        <w:t xml:space="preserve">This is exactly how</w:t>
      </w:r>
      <w:r>
        <w:t xml:space="preserve"> </w:t>
      </w:r>
      <w:r>
        <w:rPr>
          <w:b/>
          <w:bCs/>
        </w:rPr>
        <w:t xml:space="preserve">ABA Formal Opinion 512</w:t>
      </w:r>
      <w:r>
        <w:t xml:space="preserve"> </w:t>
      </w:r>
      <w:r>
        <w:t xml:space="preserve">frames the reality: many lawyers already use AI-based technologies “to improve the efficiency and quality of legal services to clients,” and the ethics question is how to do so while satisfying competence, confidentiality, communication, supervision, and fees.</w:t>
      </w:r>
    </w:p>
    <w:p>
      <w:pPr>
        <w:pStyle w:val="BodyText"/>
      </w:pPr>
      <w:r>
        <w:t xml:space="preserve">And state guidance is increasingly explicit that lawyers should not “unnecessarily retreat” from time- and cost-saving technology while still protecting confidentiality. A prominent example is</w:t>
      </w:r>
      <w:r>
        <w:t xml:space="preserve"> </w:t>
      </w:r>
      <w:r>
        <w:rPr>
          <w:b/>
          <w:bCs/>
        </w:rPr>
        <w:t xml:space="preserve">Opinion 705</w:t>
      </w:r>
      <w:r>
        <w:t xml:space="preserve">, which states that Texas’s competence rule does not require generative AI “for any particular purpose”</w:t>
      </w:r>
      <w:r>
        <w:t xml:space="preserve"> </w:t>
      </w:r>
      <w:r>
        <w:rPr>
          <w:i/>
          <w:iCs/>
        </w:rPr>
        <w:t xml:space="preserve">yet</w:t>
      </w:r>
      <w:r>
        <w:t xml:space="preserve">, but warns against unnecessary retreat from client-benefiting technologies, and then pivots to confidentiality risk as one of the “greatest” dangers.</w:t>
      </w:r>
    </w:p>
    <w:p>
      <w:pPr>
        <w:pStyle w:val="BodyText"/>
      </w:pPr>
      <w:r>
        <w:t xml:space="preserve">So the “mandate” is functional: the profession is being told (in substance) that lawyers must keep up, must use tools responsibly, and must deliver services efficiently—</w:t>
      </w:r>
      <w:r>
        <w:rPr>
          <w:i/>
          <w:iCs/>
        </w:rPr>
        <w:t xml:space="preserve">but</w:t>
      </w:r>
      <w:r>
        <w:t xml:space="preserve"> </w:t>
      </w:r>
      <w:r>
        <w:t xml:space="preserve">must do it without confidentiality failures that can crush privilege and harm clients.</w:t>
      </w:r>
    </w:p>
    <w:bookmarkEnd w:id="22"/>
    <w:bookmarkStart w:id="23" w:name="X4c2f5e14ca46bb6fc9d737a285249675ef750ca"/>
    <w:p>
      <w:pPr>
        <w:pStyle w:val="Heading2"/>
      </w:pPr>
      <w:r>
        <w:t xml:space="preserve">The Privilege and Confidentiality Trap for AI Transcription</w:t>
      </w:r>
    </w:p>
    <w:p>
      <w:pPr>
        <w:pStyle w:val="FirstParagraph"/>
      </w:pPr>
      <w:r>
        <w:t xml:space="preserve">Attorney-client confidentiality (ethics) is broader than attorney-client privilege (evidence), but privilege doctrine is often where the real economic and liberty consequences land. AI transcription intensifies waiver risk through three structural features: third-party involvement, persistent record creation, and vendor-controlled data rights.</w:t>
      </w:r>
    </w:p>
    <w:p>
      <w:pPr>
        <w:pStyle w:val="BodyText"/>
      </w:pPr>
      <w:r>
        <w:t xml:space="preserve">The black-letter privilege problem is familiar: privilege typically requires a confidential communication between client and lawyer for the purpose of legal advice, and voluntary disclosure to unprotected third parties can waive it. This is why state evidence definitions matter.</w:t>
      </w:r>
    </w:p>
    <w:p>
      <w:pPr>
        <w:pStyle w:val="BodyText"/>
      </w:pPr>
      <w:r>
        <w:t xml:space="preserve">California’s evidence code is illustrative because it explicitly defines confidentiality to</w:t>
      </w:r>
      <w:r>
        <w:t xml:space="preserve"> </w:t>
      </w:r>
      <w:r>
        <w:rPr>
          <w:i/>
          <w:iCs/>
        </w:rPr>
        <w:t xml:space="preserve">allow</w:t>
      </w:r>
      <w:r>
        <w:t xml:space="preserve"> </w:t>
      </w:r>
      <w:r>
        <w:t xml:space="preserve">certain third persons—those present to further the client’s interest, or those to whom disclosure is reasonably necessary for transmission or accomplishing the consultation purpose. Florida similarly defines “confidential” communications as undisclosed except to persons necessary for legal services or transmission. Texas’s evidence rules codify a lawyer-client privilege framework with defined “representatives,” which can support agency arguments when vendors truly function as service providers under attorney direction. New York’s statutory privilege framework in CPLR 4503 likewise anchors privilege in confidential communications made in professional employment.</w:t>
      </w:r>
    </w:p>
    <w:p>
      <w:pPr>
        <w:pStyle w:val="BodyText"/>
      </w:pPr>
      <w:r>
        <w:t xml:space="preserve">But the AI transcription trap is not merely “there is a third party.” It is that many consumer tools are built to learn from user inputs, support downstream product development, and preserve broad disclosure rights (including to comply with legal demands). Two examples from vendor documentation make the point:</w:t>
      </w:r>
    </w:p>
    <w:p>
      <w:pPr>
        <w:pStyle w:val="Compact"/>
        <w:numPr>
          <w:ilvl w:val="0"/>
          <w:numId w:val="1001"/>
        </w:numPr>
      </w:pPr>
      <w:r>
        <w:t xml:space="preserve">states that it trains its proprietary AI on “de‑identified audio recordings,” and that it also trains on transcriptions to improve accuracy (with explicit user permission for manual review of specific recordings), while also describing circumstances for disclosure to comply with legal process and related requests.</w:t>
      </w:r>
    </w:p>
    <w:p>
      <w:pPr>
        <w:pStyle w:val="Compact"/>
        <w:numPr>
          <w:ilvl w:val="0"/>
          <w:numId w:val="1001"/>
        </w:numPr>
      </w:pPr>
      <w:r>
        <w:t xml:space="preserve">—whose consumer terms and privacy policy became central in</w:t>
      </w:r>
      <w:r>
        <w:t xml:space="preserve"> </w:t>
      </w:r>
      <w:r>
        <w:rPr>
          <w:b/>
          <w:bCs/>
        </w:rPr>
        <w:t xml:space="preserve">Heppner</w:t>
      </w:r>
      <w:r>
        <w:t xml:space="preserve">—states in its consumer terms that it may use “Materials” (inputs and outputs) to improve services and “including training” unless users opt out, and its privacy policy states it may disclose personal data to governmental regulatory authorities as required by law and may use prompts/outputs for model training unless opted out (with additional safety-review pathways).</w:t>
      </w:r>
    </w:p>
    <w:p>
      <w:pPr>
        <w:pStyle w:val="FirstParagraph"/>
      </w:pPr>
      <w:r>
        <w:t xml:space="preserve">Against that backdrop, the ethical and evidentiary analytics diverge in a dangerous way:</w:t>
      </w:r>
    </w:p>
    <w:p>
      <w:pPr>
        <w:pStyle w:val="BodyText"/>
      </w:pPr>
      <w:r>
        <w:rPr>
          <w:i/>
          <w:iCs/>
        </w:rPr>
        <w:t xml:space="preserve">Ethics</w:t>
      </w:r>
      <w:r>
        <w:t xml:space="preserve"> </w:t>
      </w:r>
      <w:r>
        <w:t xml:space="preserve">asks whether the lawyer made “reasonable efforts” and appropriately supervised and communicated.</w:t>
      </w:r>
      <w:r>
        <w:br/>
      </w:r>
      <w:r>
        <w:rPr>
          <w:i/>
          <w:iCs/>
        </w:rPr>
        <w:t xml:space="preserve">Privilege</w:t>
      </w:r>
      <w:r>
        <w:t xml:space="preserve"> </w:t>
      </w:r>
      <w:r>
        <w:t xml:space="preserve">asks whether confidentiality existed in the first place and whether disclosure to the tool was within the protected circle. A tool that reserves rights to use content for training, or that is understood as nonconfidential, becomes a fact pattern that invites courts to say: “this is not confidential,” and the privilege never attaches or is waived.</w:t>
      </w:r>
    </w:p>
    <w:p>
      <w:pPr>
        <w:pStyle w:val="BodyText"/>
      </w:pPr>
      <w:r>
        <w:t xml:space="preserve">AI transcription also creates a second trap: even where privilege survives, the recording, transcript, and summary may still be discoverable as business records, meeting minutes, or non-opinion work product, and they will often be subject to retention and legal hold. The</w:t>
      </w:r>
      <w:r>
        <w:t xml:space="preserve"> </w:t>
      </w:r>
      <w:r>
        <w:rPr>
          <w:b/>
          <w:bCs/>
        </w:rPr>
        <w:t xml:space="preserve">New York City Bar’s Opinion 2025‑6</w:t>
      </w:r>
      <w:r>
        <w:t xml:space="preserve"> </w:t>
      </w:r>
      <w:r>
        <w:t xml:space="preserve">captures this point practically: even if recording is permissible, it creates additional tactical and confidentiality issues, and lawyers should consider whether generating and preserving such a record is well-advised in the circumstances.</w:t>
      </w:r>
    </w:p>
    <w:p>
      <w:pPr>
        <w:pStyle w:val="BodyText"/>
      </w:pPr>
      <w:r>
        <w:t xml:space="preserve">Finally, AI transcription is entangled with recording-consent law. Jurisdictions differ: California generally requires consent of all parties for recording “confidential communications,” while New York is a one-party consent jurisdiction. Florida and Texas have their own frameworks, including Florida’s statutory consent structure. Even when privilege may be managed through vendor contracting, lawyers can still violate criminal or civil recording laws if a notetaker silently records participants without full consent where required.</w:t>
      </w:r>
    </w:p>
    <w:bookmarkEnd w:id="23"/>
    <w:bookmarkStart w:id="24" w:name="X519639bff41dad81d0a746235c7230ad7ec6b82"/>
    <w:p>
      <w:pPr>
        <w:pStyle w:val="Heading2"/>
      </w:pPr>
      <w:r>
        <w:t xml:space="preserve">Case Study: Heppner and the Emerging “AI Is a Third Party” Logic</w:t>
      </w:r>
    </w:p>
    <w:p>
      <w:pPr>
        <w:pStyle w:val="FirstParagraph"/>
      </w:pPr>
      <w:r>
        <w:t xml:space="preserve">The user request referenced “Hefner.” In researching this issue as of February 14, 2026, I could not locate a reported decision named “Hefner” that squarely holds that using Otter.ai-like AI transcription destroys attorney-client privilege. What I</w:t>
      </w:r>
      <w:r>
        <w:t xml:space="preserve"> </w:t>
      </w:r>
      <w:r>
        <w:rPr>
          <w:i/>
          <w:iCs/>
        </w:rPr>
        <w:t xml:space="preserve">can</w:t>
      </w:r>
      <w:r>
        <w:t xml:space="preserve"> </w:t>
      </w:r>
      <w:r>
        <w:t xml:space="preserve">analyze in detail is</w:t>
      </w:r>
      <w:r>
        <w:t xml:space="preserve"> </w:t>
      </w:r>
      <w:r>
        <w:rPr>
          <w:b/>
          <w:bCs/>
        </w:rPr>
        <w:t xml:space="preserve">United States v. Heppner</w:t>
      </w:r>
      <w:r>
        <w:t xml:space="preserve">, which is being cited widely right now because it is a federal bench ruling explicitly rejecting privilege where a party used a commercial AI system and later shared outputs with counsel.</w:t>
      </w:r>
    </w:p>
    <w:p>
      <w:pPr>
        <w:pStyle w:val="BodyText"/>
      </w:pPr>
      <w:r>
        <w:t xml:space="preserve">Here is what matters about</w:t>
      </w:r>
      <w:r>
        <w:t xml:space="preserve"> </w:t>
      </w:r>
      <w:r>
        <w:rPr>
          <w:b/>
          <w:bCs/>
        </w:rPr>
        <w:t xml:space="preserve">Heppner</w:t>
      </w:r>
      <w:r>
        <w:t xml:space="preserve"> </w:t>
      </w:r>
      <w:r>
        <w:t xml:space="preserve">for lawyers thinking about AI transcription services:</w:t>
      </w:r>
    </w:p>
    <w:p>
      <w:pPr>
        <w:pStyle w:val="BodyText"/>
      </w:pPr>
      <w:r>
        <w:t xml:space="preserve">First, the government framed the issue in classical privilege elements: the AI documents were not attorney-client communications, were not for legal advice under the platform’s disclaimers, and were not confidential because the queries were voluntarily shared with a third-party AI platform whose policies permitted disclosure to governmental authorities. That structure maps almost perfectly onto consumer AI transcription: the transcript is created by a third party; the platform is not your lawyer; and vendor terms often reserve broad rights over data.</w:t>
      </w:r>
    </w:p>
    <w:p>
      <w:pPr>
        <w:pStyle w:val="BodyText"/>
      </w:pPr>
      <w:r>
        <w:t xml:space="preserve">Second, the court’s bench colloquy reflected a threshold confidentiality skepticism. The defense asserted that the AI reports incorporated information conveyed by counsel. The court pointedly treated that as an aggravating confidentiality failure, not a saving feature: counsel’s information was provided to an AI system under nonconfidential terms, i.e., disclosed to a third party.</w:t>
      </w:r>
    </w:p>
    <w:p>
      <w:pPr>
        <w:pStyle w:val="BodyText"/>
      </w:pPr>
      <w:r>
        <w:t xml:space="preserve">Third,</w:t>
      </w:r>
      <w:r>
        <w:t xml:space="preserve"> </w:t>
      </w:r>
      <w:r>
        <w:rPr>
          <w:b/>
          <w:bCs/>
        </w:rPr>
        <w:t xml:space="preserve">Heppner</w:t>
      </w:r>
      <w:r>
        <w:t xml:space="preserve"> </w:t>
      </w:r>
      <w:r>
        <w:t xml:space="preserve">is not only about privilege waiver; it is also about</w:t>
      </w:r>
      <w:r>
        <w:t xml:space="preserve"> </w:t>
      </w:r>
      <w:r>
        <w:rPr>
          <w:i/>
          <w:iCs/>
        </w:rPr>
        <w:t xml:space="preserve">work product</w:t>
      </w:r>
      <w:r>
        <w:t xml:space="preserve"> </w:t>
      </w:r>
      <w:r>
        <w:t xml:space="preserve">classification. The court was unconvinced that materials prepared by the defendant “on his own volition” reflected counsel’s mental impressions in the way the work product doctrine is designed to protect, and the government’s motion emphasized Second Circuit doctrine limiting protection for materials not prepared by counsel or counsel’s agents.</w:t>
      </w:r>
    </w:p>
    <w:p>
      <w:pPr>
        <w:pStyle w:val="BodyText"/>
      </w:pPr>
      <w:r>
        <w:t xml:space="preserve">This is a warning flare for AI transcription because transcripts and summaries often look like neutral “reports” created by a tool—unless the lawyer can credibly characterize the tool as an agent under attorney direction, operating under confidentiality and security constraints that preserve the protected circle.</w:t>
      </w:r>
      <w:r>
        <w:t xml:space="preserve"> </w:t>
      </w:r>
      <w:r>
        <w:rPr>
          <w:b/>
          <w:bCs/>
        </w:rPr>
        <w:t xml:space="preserve">Heppner</w:t>
      </w:r>
      <w:r>
        <w:t xml:space="preserve"> </w:t>
      </w:r>
      <w:r>
        <w:t xml:space="preserve">shows how easily courts can collapse the analysis into “third party + nonconfidential terms = no privilege.”</w:t>
      </w:r>
    </w:p>
    <w:p>
      <w:pPr>
        <w:pStyle w:val="BodyText"/>
      </w:pPr>
      <w:r>
        <w:t xml:space="preserve">But</w:t>
      </w:r>
      <w:r>
        <w:t xml:space="preserve"> </w:t>
      </w:r>
      <w:r>
        <w:rPr>
          <w:b/>
          <w:bCs/>
        </w:rPr>
        <w:t xml:space="preserve">Heppner</w:t>
      </w:r>
      <w:r>
        <w:t xml:space="preserve"> </w:t>
      </w:r>
      <w:r>
        <w:t xml:space="preserve">is also precisely why rule reform is feasible. The court’s logic implicitly depends on</w:t>
      </w:r>
      <w:r>
        <w:t xml:space="preserve"> </w:t>
      </w:r>
      <w:r>
        <w:rPr>
          <w:i/>
          <w:iCs/>
        </w:rPr>
        <w:t xml:space="preserve">facts about the tool relationship.</w:t>
      </w:r>
      <w:r>
        <w:t xml:space="preserve"> </w:t>
      </w:r>
      <w:r>
        <w:t xml:space="preserve">If the record created under attorney direction is generated by a vendor bound to confidentiality, with no training rights, minimal retention, and security safeguards, the argument that the tool is a functional equivalent of an interpreter, translator, or litigation support vendor becomes far stronger than “I asked an AI bot for legal strategy on my own.”</w:t>
      </w:r>
    </w:p>
    <w:bookmarkEnd w:id="24"/>
    <w:bookmarkStart w:id="27" w:name="Xddf4530765d76b612389d8a510dd6019ef04d26"/>
    <w:p>
      <w:pPr>
        <w:pStyle w:val="Heading2"/>
      </w:pPr>
      <w:r>
        <w:t xml:space="preserve">Comparative Snapshot of Authorities and Vendor Policies</w:t>
      </w:r>
    </w:p>
    <w:bookmarkStart w:id="25" w:name="X90b96d4f10cb2cb724318493d452f8c442077ff"/>
    <w:p>
      <w:pPr>
        <w:pStyle w:val="Heading3"/>
      </w:pPr>
      <w:r>
        <w:t xml:space="preserve">Comparative table of key cases and ethics opinions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Authority</w:t>
            </w:r>
          </w:p>
        </w:tc>
        <w:tc>
          <w:tcPr/>
          <w:p>
            <w:pPr>
              <w:pStyle w:val="Compact"/>
            </w:pPr>
            <w:r>
              <w:t xml:space="preserve">Jurisdiction</w:t>
            </w:r>
          </w:p>
        </w:tc>
        <w:tc>
          <w:tcPr/>
          <w:p>
            <w:pPr>
              <w:pStyle w:val="Compact"/>
            </w:pPr>
            <w:r>
              <w:t xml:space="preserve">Technology context</w:t>
            </w:r>
          </w:p>
        </w:tc>
        <w:tc>
          <w:tcPr/>
          <w:p>
            <w:pPr>
              <w:pStyle w:val="Compact"/>
            </w:pPr>
            <w:r>
              <w:t xml:space="preserve">Practical holding / guidance</w:t>
            </w:r>
          </w:p>
        </w:tc>
        <w:tc>
          <w:tcPr/>
          <w:p>
            <w:pPr>
              <w:pStyle w:val="Compact"/>
            </w:pPr>
            <w:r>
              <w:t xml:space="preserve">Why it matters for AI transcription</w:t>
            </w:r>
          </w:p>
        </w:tc>
      </w:tr>
      <w:tr>
        <w:tc>
          <w:tcPr/>
          <w:p>
            <w:pPr>
              <w:pStyle w:val="Compact"/>
            </w:pPr>
            <w:r>
              <w:rPr>
                <w:b/>
                <w:bCs/>
              </w:rPr>
              <w:t xml:space="preserve">United States v. Heppner</w:t>
            </w:r>
            <w:r>
              <w:t xml:space="preserve">, No. 25 Cr. 503 (JSR) (S.D.N.Y. Feb. 10, 2026) (conference transcript)</w:t>
            </w:r>
          </w:p>
        </w:tc>
        <w:tc>
          <w:tcPr/>
          <w:p>
            <w:pPr>
              <w:pStyle w:val="Compact"/>
            </w:pPr>
          </w:p>
        </w:tc>
        <w:tc>
          <w:tcPr/>
          <w:p>
            <w:pPr>
              <w:pStyle w:val="Compact"/>
            </w:pPr>
            <w:r>
              <w:t xml:space="preserve">Client used a commercial AI system to generate “reports,” later shared with counsel</w:t>
            </w:r>
          </w:p>
        </w:tc>
        <w:tc>
          <w:tcPr/>
          <w:p>
            <w:pPr>
              <w:pStyle w:val="Compact"/>
            </w:pPr>
            <w:r>
              <w:t xml:space="preserve">Privilege rejected; confidentiality undermined where the tool relationship was treated as nonconfidential and third‑party disclosure; work‑product claim also rejected on facts</w:t>
            </w:r>
          </w:p>
        </w:tc>
        <w:tc>
          <w:tcPr/>
          <w:p>
            <w:pPr>
              <w:pStyle w:val="Compact"/>
            </w:pPr>
            <w:r>
              <w:t xml:space="preserve">Courts may treat consumer AI systems as third parties outside privilege; confidentiality can fail at the threshold if vendor terms undermine privacy expectations</w:t>
            </w:r>
          </w:p>
        </w:tc>
      </w:tr>
      <w:tr>
        <w:tc>
          <w:tcPr/>
          <w:p>
            <w:pPr>
              <w:pStyle w:val="Compact"/>
            </w:pPr>
            <w:r>
              <w:t xml:space="preserve">Gov’t Motion re AI Documents,</w:t>
            </w:r>
            <w:r>
              <w:t xml:space="preserve"> </w:t>
            </w:r>
            <w:r>
              <w:rPr>
                <w:b/>
                <w:bCs/>
              </w:rPr>
              <w:t xml:space="preserve">Heppner</w:t>
            </w:r>
            <w:r>
              <w:t xml:space="preserve">, Dkt. 22 (S.D.N.Y. Feb. 6, 2026)</w:t>
            </w:r>
          </w:p>
        </w:tc>
        <w:tc>
          <w:tcPr/>
          <w:p>
            <w:pPr>
              <w:pStyle w:val="Compact"/>
            </w:pPr>
            <w:r>
              <w:t xml:space="preserve">Federal criminal case</w:t>
            </w:r>
          </w:p>
        </w:tc>
        <w:tc>
          <w:tcPr/>
          <w:p>
            <w:pPr>
              <w:pStyle w:val="Compact"/>
            </w:pPr>
            <w:r>
              <w:t xml:space="preserve">Same</w:t>
            </w:r>
          </w:p>
        </w:tc>
        <w:tc>
          <w:tcPr/>
          <w:p>
            <w:pPr>
              <w:pStyle w:val="Compact"/>
            </w:pPr>
            <w:r>
              <w:t xml:space="preserve">Government articulates three independent anti-privilege theories: no attorney communication, no legal-advice purpose under platform disclaimers, and nonconfidential disclosure to third party; plus “preexisting documents” doctrine</w:t>
            </w:r>
          </w:p>
        </w:tc>
        <w:tc>
          <w:tcPr/>
          <w:p>
            <w:pPr>
              <w:pStyle w:val="Compact"/>
            </w:pPr>
            <w:r>
              <w:t xml:space="preserve">Provides a reusable litigation template opponents will adapt to AI transcripts and summaries when they want discovery</w:t>
            </w:r>
          </w:p>
        </w:tc>
      </w:tr>
      <w:tr>
        <w:tc>
          <w:tcPr/>
          <w:p>
            <w:pPr>
              <w:pStyle w:val="Compact"/>
            </w:pPr>
            <w:r>
              <w:rPr>
                <w:b/>
                <w:bCs/>
              </w:rPr>
              <w:t xml:space="preserve">ABA Formal Op. 512</w:t>
            </w:r>
            <w:r>
              <w:t xml:space="preserve"> </w:t>
            </w:r>
            <w:r>
              <w:t xml:space="preserve">(July 29, 2024)</w:t>
            </w:r>
          </w:p>
        </w:tc>
        <w:tc>
          <w:tcPr/>
          <w:p>
            <w:pPr>
              <w:pStyle w:val="Compact"/>
            </w:pPr>
          </w:p>
        </w:tc>
        <w:tc>
          <w:tcPr/>
          <w:p>
            <w:pPr>
              <w:pStyle w:val="Compact"/>
            </w:pPr>
            <w:r>
              <w:t xml:space="preserve">GAI tools in law practice</w:t>
            </w:r>
          </w:p>
        </w:tc>
        <w:tc>
          <w:tcPr/>
          <w:p>
            <w:pPr>
              <w:pStyle w:val="Compact"/>
            </w:pPr>
            <w:r>
              <w:t xml:space="preserve">Lawyers may use GAI, but must manage competence, confidentiality, communication, supervision, and fees; emphasizes rapid evolution and need for vigilance</w:t>
            </w:r>
          </w:p>
        </w:tc>
        <w:tc>
          <w:tcPr/>
          <w:p>
            <w:pPr>
              <w:pStyle w:val="Compact"/>
            </w:pPr>
            <w:r>
              <w:t xml:space="preserve">Establishes that using AI to improve efficiency is aligned with professional duties—</w:t>
            </w:r>
            <w:r>
              <w:rPr>
                <w:i/>
                <w:iCs/>
              </w:rPr>
              <w:t xml:space="preserve">if</w:t>
            </w:r>
            <w:r>
              <w:t xml:space="preserve"> </w:t>
            </w:r>
            <w:r>
              <w:t xml:space="preserve">confidentiality and supervision are handled correctly</w:t>
            </w:r>
          </w:p>
        </w:tc>
      </w:tr>
      <w:tr>
        <w:tc>
          <w:tcPr/>
          <w:p>
            <w:pPr>
              <w:pStyle w:val="Compact"/>
            </w:pPr>
            <w:r>
              <w:rPr>
                <w:b/>
                <w:bCs/>
              </w:rPr>
              <w:t xml:space="preserve">N.Y.C. Bar Formal Op. 2025‑6</w:t>
            </w:r>
            <w:r>
              <w:t xml:space="preserve"> </w:t>
            </w:r>
            <w:r>
              <w:t xml:space="preserve">(Dec. 22, 2025)</w:t>
            </w:r>
          </w:p>
        </w:tc>
        <w:tc>
          <w:tcPr/>
          <w:p>
            <w:pPr>
              <w:pStyle w:val="Compact"/>
            </w:pPr>
          </w:p>
        </w:tc>
        <w:tc>
          <w:tcPr/>
          <w:p>
            <w:pPr>
              <w:pStyle w:val="Compact"/>
            </w:pPr>
            <w:r>
              <w:t xml:space="preserve">AI tools to record/transcribe/summarize attorney-client calls</w:t>
            </w:r>
          </w:p>
        </w:tc>
        <w:tc>
          <w:tcPr/>
          <w:p>
            <w:pPr>
              <w:pStyle w:val="Compact"/>
            </w:pPr>
            <w:r>
              <w:t xml:space="preserve">Advises client consent before recording; evaluate tactical wisdom; address confidentiality/privilege; verify accuracy; counsel clients who use AI recording tools</w:t>
            </w:r>
          </w:p>
        </w:tc>
        <w:tc>
          <w:tcPr/>
          <w:p>
            <w:pPr>
              <w:pStyle w:val="Compact"/>
            </w:pPr>
            <w:r>
              <w:t xml:space="preserve">Shows the profession is explicitly worried about AI transcription as a privilege and record-creation problem, not just an accuracy problem</w:t>
            </w:r>
          </w:p>
        </w:tc>
      </w:tr>
      <w:tr>
        <w:tc>
          <w:tcPr/>
          <w:p>
            <w:pPr>
              <w:pStyle w:val="Compact"/>
            </w:pPr>
            <w:r>
              <w:rPr>
                <w:b/>
                <w:bCs/>
              </w:rPr>
              <w:t xml:space="preserve">The Florida Bar Ethics Op. 24‑1</w:t>
            </w:r>
            <w:r>
              <w:t xml:space="preserve"> </w:t>
            </w:r>
            <w:r>
              <w:t xml:space="preserve">(approved Jan. 2024)</w:t>
            </w:r>
          </w:p>
        </w:tc>
        <w:tc>
          <w:tcPr/>
          <w:p>
            <w:pPr>
              <w:pStyle w:val="Compact"/>
            </w:pPr>
          </w:p>
        </w:tc>
        <w:tc>
          <w:tcPr/>
          <w:p>
            <w:pPr>
              <w:pStyle w:val="Compact"/>
            </w:pPr>
            <w:r>
              <w:t xml:space="preserve">Generative AI and lawyer ethics</w:t>
            </w:r>
          </w:p>
        </w:tc>
        <w:tc>
          <w:tcPr/>
          <w:p>
            <w:pPr>
              <w:pStyle w:val="Compact"/>
            </w:pPr>
            <w:r>
              <w:t xml:space="preserve">Requires protecting confidentiality; recommends informed consent before using third-party GAI if confidential info will be disclosed; discusses self-learning risks; analogizes oversight to nonlawyer assistants; flags metadata issues</w:t>
            </w:r>
          </w:p>
        </w:tc>
        <w:tc>
          <w:tcPr/>
          <w:p>
            <w:pPr>
              <w:pStyle w:val="Compact"/>
            </w:pPr>
            <w:r>
              <w:t xml:space="preserve">Florida is explicit: third‑party AI use with confidential info can require informed consent and must be vetted for self-learning/training risks</w:t>
            </w:r>
          </w:p>
        </w:tc>
      </w:tr>
      <w:tr>
        <w:tc>
          <w:tcPr/>
          <w:p>
            <w:pPr>
              <w:pStyle w:val="Compact"/>
            </w:pPr>
            <w:r>
              <w:rPr>
                <w:b/>
                <w:bCs/>
              </w:rPr>
              <w:t xml:space="preserve">Texas Ethics Op. 705</w:t>
            </w:r>
            <w:r>
              <w:t xml:space="preserve"> </w:t>
            </w:r>
            <w:r>
              <w:t xml:space="preserve">(2025)</w:t>
            </w:r>
          </w:p>
        </w:tc>
        <w:tc>
          <w:tcPr/>
          <w:p>
            <w:pPr>
              <w:pStyle w:val="Compact"/>
            </w:pPr>
          </w:p>
        </w:tc>
        <w:tc>
          <w:tcPr/>
          <w:p>
            <w:pPr>
              <w:pStyle w:val="Compact"/>
            </w:pPr>
            <w:r>
              <w:t xml:space="preserve">Generative AI</w:t>
            </w:r>
          </w:p>
        </w:tc>
        <w:tc>
          <w:tcPr/>
          <w:p>
            <w:pPr>
              <w:pStyle w:val="Compact"/>
            </w:pPr>
            <w:r>
              <w:t xml:space="preserve">Says AI isn’t required</w:t>
            </w:r>
            <w:r>
              <w:t xml:space="preserve"> </w:t>
            </w:r>
            <w:r>
              <w:rPr>
                <w:i/>
                <w:iCs/>
              </w:rPr>
              <w:t xml:space="preserve">yet</w:t>
            </w:r>
            <w:r>
              <w:t xml:space="preserve"> </w:t>
            </w:r>
            <w:r>
              <w:t xml:space="preserve">but warns against needless retreat from time/cost-saving tech; emphasizes confidentiality and the danger of self-learning systems storing client information</w:t>
            </w:r>
          </w:p>
        </w:tc>
        <w:tc>
          <w:tcPr/>
          <w:p>
            <w:pPr>
              <w:pStyle w:val="Compact"/>
            </w:pPr>
            <w:r>
              <w:t xml:space="preserve">Provides a clear articulation of the “technology mandate” pressure—and the confidentiality counterweight</w:t>
            </w:r>
          </w:p>
        </w:tc>
      </w:tr>
      <w:tr>
        <w:tc>
          <w:tcPr/>
          <w:p>
            <w:pPr>
              <w:pStyle w:val="Compact"/>
            </w:pPr>
            <w:r>
              <w:t xml:space="preserve">State Bar of California, “Practical Guidance” (approved Nov. 16, 2023; living document)</w:t>
            </w:r>
          </w:p>
        </w:tc>
        <w:tc>
          <w:tcPr/>
          <w:p>
            <w:pPr>
              <w:pStyle w:val="Compact"/>
            </w:pPr>
          </w:p>
        </w:tc>
        <w:tc>
          <w:tcPr/>
          <w:p>
            <w:pPr>
              <w:pStyle w:val="Compact"/>
            </w:pPr>
            <w:r>
              <w:t xml:space="preserve">GAI</w:t>
            </w:r>
          </w:p>
        </w:tc>
        <w:tc>
          <w:tcPr/>
          <w:p>
            <w:pPr>
              <w:pStyle w:val="Compact"/>
            </w:pPr>
            <w:r>
              <w:t xml:space="preserve">Emphasizes understanding terms of use and policies on exploitation of client data; calls for critical review; discusses communication and supervision</w:t>
            </w:r>
          </w:p>
        </w:tc>
        <w:tc>
          <w:tcPr/>
          <w:p>
            <w:pPr>
              <w:pStyle w:val="Compact"/>
            </w:pPr>
            <w:r>
              <w:t xml:space="preserve">California connects competence to reviewing vendor terms governing how client data may be used (including training), which maps directly onto transcription platforms</w:t>
            </w:r>
          </w:p>
        </w:tc>
      </w:tr>
    </w:tbl>
    <w:bookmarkEnd w:id="25"/>
    <w:bookmarkStart w:id="26" w:name="X887a43206ed18388d44dca6b5243dedd25ef6f3"/>
    <w:p>
      <w:pPr>
        <w:pStyle w:val="Heading3"/>
      </w:pPr>
      <w:r>
        <w:t xml:space="preserve">Comparative table of vendor-policy risk factors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Vendor / platform</w:t>
            </w:r>
          </w:p>
        </w:tc>
        <w:tc>
          <w:tcPr/>
          <w:p>
            <w:pPr>
              <w:pStyle w:val="Compact"/>
            </w:pPr>
            <w:r>
              <w:t xml:space="preserve">Training / model improvement</w:t>
            </w:r>
          </w:p>
        </w:tc>
        <w:tc>
          <w:tcPr/>
          <w:p>
            <w:pPr>
              <w:pStyle w:val="Compact"/>
            </w:pPr>
            <w:r>
              <w:t xml:space="preserve">Disclosure to authorities</w:t>
            </w:r>
          </w:p>
        </w:tc>
        <w:tc>
          <w:tcPr/>
          <w:p>
            <w:pPr>
              <w:pStyle w:val="Compact"/>
            </w:pPr>
            <w:r>
              <w:t xml:space="preserve">Recording/consent allocation</w:t>
            </w:r>
          </w:p>
        </w:tc>
        <w:tc>
          <w:tcPr/>
          <w:p>
            <w:pPr>
              <w:pStyle w:val="Compact"/>
            </w:pPr>
            <w:r>
              <w:t xml:space="preserve">Practical takeaway for lawyers</w:t>
            </w:r>
          </w:p>
        </w:tc>
      </w:tr>
      <w:tr>
        <w:tc>
          <w:tcPr/>
          <w:p>
            <w:pPr>
              <w:pStyle w:val="Compact"/>
            </w:pPr>
          </w:p>
        </w:tc>
        <w:tc>
          <w:tcPr/>
          <w:p>
            <w:pPr>
              <w:pStyle w:val="Compact"/>
            </w:pPr>
            <w:r>
              <w:t xml:space="preserve">States it trains on “de‑identified audio recordings” and also trains on transcriptions to improve accuracy; describes explicit permission pathways for manual review of recordings for training/product improvement</w:t>
            </w:r>
          </w:p>
        </w:tc>
        <w:tc>
          <w:tcPr/>
          <w:p>
            <w:pPr>
              <w:pStyle w:val="Compact"/>
            </w:pPr>
            <w:r>
              <w:t xml:space="preserve">Describes disclosure where legally required or in good-faith belief necessary to comply with legal process, enforce terms, address security/fraud, etc.</w:t>
            </w:r>
          </w:p>
        </w:tc>
        <w:tc>
          <w:tcPr/>
          <w:p>
            <w:pPr>
              <w:pStyle w:val="Compact"/>
            </w:pPr>
            <w:r>
              <w:t xml:space="preserve">TOS places consent/notice burden on user and disclaims responsibility for user content access outcomes</w:t>
            </w:r>
          </w:p>
        </w:tc>
        <w:tc>
          <w:tcPr/>
          <w:p>
            <w:pPr>
              <w:pStyle w:val="Compact"/>
            </w:pPr>
            <w:r>
              <w:t xml:space="preserve">A default consumer workflow can create a colorable “third-party platform” waiver argument unless enterprise contracting and settings meaningfully restrict training, retention, and access</w:t>
            </w:r>
          </w:p>
        </w:tc>
      </w:tr>
      <w:tr>
        <w:tc>
          <w:tcPr/>
          <w:p>
            <w:pPr>
              <w:pStyle w:val="Compact"/>
            </w:pPr>
            <w:r>
              <w:t xml:space="preserve">(as described on its security materials)</w:t>
            </w:r>
          </w:p>
        </w:tc>
        <w:tc>
          <w:tcPr/>
          <w:p>
            <w:pPr>
              <w:pStyle w:val="Compact"/>
            </w:pPr>
            <w:r>
              <w:t xml:space="preserve">States “no data training” and references “0‑day retention” with vendors/partners and encryption controls</w:t>
            </w:r>
          </w:p>
        </w:tc>
        <w:tc>
          <w:tcPr/>
          <w:p>
            <w:pPr>
              <w:pStyle w:val="Compact"/>
            </w:pPr>
            <w:r>
              <w:t xml:space="preserve">Security materials focus on compliance and vendor controls; any legal-demand response policy should still be reviewed in full contractual terms (not just marketing pages)</w:t>
            </w:r>
          </w:p>
        </w:tc>
        <w:tc>
          <w:tcPr/>
          <w:p>
            <w:pPr>
              <w:pStyle w:val="Compact"/>
            </w:pPr>
            <w:r>
              <w:t xml:space="preserve">Marketing emphasizes admin governance and privacy controls</w:t>
            </w:r>
          </w:p>
        </w:tc>
        <w:tc>
          <w:tcPr/>
          <w:p>
            <w:pPr>
              <w:pStyle w:val="Compact"/>
            </w:pPr>
            <w:r>
              <w:t xml:space="preserve">Some vendors are positioning themselves to look like “agents” under attorney direction; but the lawyer must confirm enforceable contract terms, not just marketing claims</w:t>
            </w:r>
          </w:p>
        </w:tc>
      </w:tr>
      <w:tr>
        <w:tc>
          <w:tcPr/>
          <w:p>
            <w:pPr>
              <w:pStyle w:val="Compact"/>
            </w:pPr>
            <w:r>
              <w:t xml:space="preserve">(consumer terms / privacy policy)</w:t>
            </w:r>
          </w:p>
        </w:tc>
        <w:tc>
          <w:tcPr/>
          <w:p>
            <w:pPr>
              <w:pStyle w:val="Compact"/>
            </w:pPr>
            <w:r>
              <w:t xml:space="preserve">Consumer terms say inputs/outputs (“Materials”) may be used to improve services “including training” unless user opts out; privacy policy likewise allows training uses unless opted out, with safety-review exceptions</w:t>
            </w:r>
          </w:p>
        </w:tc>
        <w:tc>
          <w:tcPr/>
          <w:p>
            <w:pPr>
              <w:pStyle w:val="Compact"/>
            </w:pPr>
            <w:r>
              <w:t xml:space="preserve">Privacy policy allows disclosure to governmental regulatory authorities as required by law and in certain investigations</w:t>
            </w:r>
          </w:p>
        </w:tc>
        <w:tc>
          <w:tcPr/>
          <w:p>
            <w:pPr>
              <w:pStyle w:val="Compact"/>
            </w:pPr>
            <w:r>
              <w:t xml:space="preserve">Not a meeting recorder, but a paradigmatic “consumer AI tool” used for legal-adjacent drafting and analysis</w:t>
            </w:r>
          </w:p>
        </w:tc>
        <w:tc>
          <w:tcPr/>
          <w:p>
            <w:pPr>
              <w:pStyle w:val="Compact"/>
            </w:pPr>
            <w:r>
              <w:rPr>
                <w:b/>
                <w:bCs/>
              </w:rPr>
              <w:t xml:space="preserve">Heppner</w:t>
            </w:r>
            <w:r>
              <w:t xml:space="preserve"> </w:t>
            </w:r>
            <w:r>
              <w:t xml:space="preserve">demonstrates that courts may treat these consumer terms as incompatible with confidentiality expectations—an approach that adversaries can analogize to transcription tools</w:t>
            </w:r>
          </w:p>
        </w:tc>
      </w:tr>
    </w:tbl>
    <w:bookmarkEnd w:id="26"/>
    <w:bookmarkEnd w:id="27"/>
    <w:bookmarkStart w:id="28" w:name="Xbfa51982167aaf1625ffc08bc6acff70111b3c4"/>
    <w:p>
      <w:pPr>
        <w:pStyle w:val="Heading2"/>
      </w:pPr>
      <w:r>
        <w:t xml:space="preserve">Practical Implications for Lawyers and Client Access</w:t>
      </w:r>
    </w:p>
    <w:p>
      <w:pPr>
        <w:pStyle w:val="FirstParagraph"/>
      </w:pPr>
      <w:r>
        <w:t xml:space="preserve">I want to be blunt: if the profession defaults to “AI transcription is per se privilege waiver,” we will not eliminate AI transcription. We will simply push it underground, into inconsistent personal-tool usage by clients, staff, and even opposing parties. The result will be worse confidentiality outcomes, not better ones.</w:t>
      </w:r>
    </w:p>
    <w:p>
      <w:pPr>
        <w:pStyle w:val="BodyText"/>
      </w:pPr>
      <w:r>
        <w:t xml:space="preserve">First, clients are already bringing these tools into the room. The N.Y.C. Bar opinion recognizes this directly: if a lawyer knows a client is recording with an AI tool, the lawyer should advise the client about disadvantages. The ethics system therefore cannot rely on “ban the tool” as a realistic compliance posture.</w:t>
      </w:r>
    </w:p>
    <w:p>
      <w:pPr>
        <w:pStyle w:val="BodyText"/>
      </w:pPr>
      <w:r>
        <w:t xml:space="preserve">Second, AI transcription is a competence tool in the same way e‑discovery and contract analytics became competence tools: it can reduce error rates from manual note-taking, improve documentation, and reduce the cost of creating accurate records—especially in high-volume practice areas where client budgets are tight. ABA Formal Opinion 512 explicitly situates AI in that efficiency/quality frame while warning lawyers to manage the risks.</w:t>
      </w:r>
    </w:p>
    <w:p>
      <w:pPr>
        <w:pStyle w:val="BodyText"/>
      </w:pPr>
      <w:r>
        <w:t xml:space="preserve">Third, AI transcription is a retention and discovery accelerant. Once a transcript exists, it can become part of the client file, part of a firm’s retention policies, and part of litigation holds. Whether privileged or not, the record can be demanded. This is why ethics opinions emphasize tactical deliberation about whether to record and preserve at all.</w:t>
      </w:r>
    </w:p>
    <w:p>
      <w:pPr>
        <w:pStyle w:val="BodyText"/>
      </w:pPr>
      <w:r>
        <w:t xml:space="preserve">Fourth, the recording-consent patchwork makes “silent bots” uniquely dangerous. California’s consent rule for confidential communications and Florida’s statutory consent structure are not mere technicalities; they can transform a convenience feature into a criminal/civil exposure if used improperly. Even in one-party consent jurisdictions like New York, secret recording can still create ethical deception problems depending on context and local rules.</w:t>
      </w:r>
    </w:p>
    <w:p>
      <w:pPr>
        <w:pStyle w:val="BodyText"/>
      </w:pPr>
      <w:r>
        <w:t xml:space="preserve">Fifth, vendor terms and training practices now matter as “privilege facts.” Otter’s policy statements about model training and disclosure, combined with its TOS allocation of consent burdens to the user, are exactly the kind of vendor-language that adversaries will cite to argue “not confidential.”</w:t>
      </w:r>
      <w:r>
        <w:t xml:space="preserve"> </w:t>
      </w:r>
      <w:r>
        <w:rPr>
          <w:b/>
          <w:bCs/>
        </w:rPr>
        <w:t xml:space="preserve">Heppner</w:t>
      </w:r>
      <w:r>
        <w:t xml:space="preserve"> </w:t>
      </w:r>
      <w:r>
        <w:t xml:space="preserve">makes that litigation strategy look viable.</w:t>
      </w:r>
    </w:p>
    <w:p>
      <w:pPr>
        <w:pStyle w:val="BodyText"/>
      </w:pPr>
      <w:r>
        <w:t xml:space="preserve">So the practical implication is not “never transcribe.” It is that the profession must define what counts as</w:t>
      </w:r>
      <w:r>
        <w:t xml:space="preserve"> </w:t>
      </w:r>
      <w:r>
        <w:rPr>
          <w:i/>
          <w:iCs/>
        </w:rPr>
        <w:t xml:space="preserve">protected, reasonable, lawyer-supervised transcription</w:t>
      </w:r>
      <w:r>
        <w:t xml:space="preserve"> </w:t>
      </w:r>
      <w:r>
        <w:t xml:space="preserve">in a way courts will respect—and then align ethics and evidence law to those realities so lawyers can deliver efficient services without gambling privilege.</w:t>
      </w:r>
    </w:p>
    <w:bookmarkEnd w:id="28"/>
    <w:bookmarkStart w:id="33" w:name="X494db41ea2fd174380279785426605d91afcab9"/>
    <w:p>
      <w:pPr>
        <w:pStyle w:val="Heading2"/>
      </w:pPr>
      <w:r>
        <w:t xml:space="preserve">Proposed Amendments to Model Rules and Evidence Rules</w:t>
      </w:r>
    </w:p>
    <w:p>
      <w:pPr>
        <w:pStyle w:val="FirstParagraph"/>
      </w:pPr>
      <w:r>
        <w:t xml:space="preserve">This is the core of my argument: we need an explicit safe harbor that reflects modern legal service delivery. The current framework relies too heavily on after-the-fact judicial improvisation (often in discovery disputes), which creates chilling uncertainty and inconsistent outcomes.</w:t>
      </w:r>
    </w:p>
    <w:bookmarkStart w:id="29" w:name="proposed-amendments-to-aba-model-rules"/>
    <w:p>
      <w:pPr>
        <w:pStyle w:val="Heading3"/>
      </w:pPr>
      <w:r>
        <w:t xml:space="preserve">Proposed amendments to ABA Model Rules</w:t>
      </w:r>
    </w:p>
    <w:p>
      <w:pPr>
        <w:pStyle w:val="FirstParagraph"/>
      </w:pPr>
      <w:r>
        <w:t xml:space="preserve">Below is model language I propose for ABA consideration. I am not trying to “weaken” confidentiality. I am trying to</w:t>
      </w:r>
      <w:r>
        <w:t xml:space="preserve"> </w:t>
      </w:r>
      <w:r>
        <w:rPr>
          <w:i/>
          <w:iCs/>
        </w:rPr>
        <w:t xml:space="preserve">make confidentiality workable</w:t>
      </w:r>
      <w:r>
        <w:t xml:space="preserve"> </w:t>
      </w:r>
      <w:r>
        <w:t xml:space="preserve">in a world where clients and lawyers already communicate through third-party systems.</w:t>
      </w:r>
    </w:p>
    <w:p>
      <w:pPr>
        <w:pStyle w:val="BodyText"/>
      </w:pPr>
      <w:r>
        <w:rPr>
          <w:b/>
          <w:bCs/>
        </w:rPr>
        <w:t xml:space="preserve">Model Rule 1.6 — add a new Comment [19] (or renumber as needed)</w:t>
      </w:r>
      <w:r>
        <w:t xml:space="preserve"> </w:t>
      </w:r>
      <w:r>
        <w:t xml:space="preserve">(draft):</w:t>
      </w:r>
    </w:p>
    <w:p>
      <w:pPr>
        <w:pStyle w:val="BlockText"/>
      </w:pPr>
      <w:r>
        <w:rPr>
          <w:b/>
          <w:bCs/>
        </w:rPr>
        <w:t xml:space="preserve">[19] Use of digital service providers and AI tools.</w:t>
      </w:r>
      <w:r>
        <w:t xml:space="preserve"> </w:t>
      </w:r>
      <w:r>
        <w:t xml:space="preserve">A lawyer may use a digital service provider, including transcription, summarization, translation, collaboration, or artificial‑intelligence tools, to facilitate representation, provided the lawyer makes reasonable efforts to ensure that the provider will protect information relating to the representation against unauthorized access, use, or disclosure. Reasonable efforts ordinarily include: (1) assessing whether the provider uses client information to train or improve models not dedicated to the lawyer or the lawyer’s client; (2) implementing contractual confidentiality and security protections appropriate to the sensitivity of the information; (3) limiting the information shared to what is reasonably necessary; (4) setting and enforcing appropriate retention and deletion controls; and (5) supervising lawyers and nonlawyers in the lawyer’s firm to prevent improper use. Where the lawyer reasonably believes the tool will materially increase the risk of disclosure, misuse, or creation of a discoverable record, the lawyer should consult with the client under Rule 1.4 regarding the benefits and risks and obtain informed consent where required by these Rules.</w:t>
      </w:r>
    </w:p>
    <w:p>
      <w:pPr>
        <w:pStyle w:val="FirstParagraph"/>
      </w:pPr>
      <w:r>
        <w:rPr>
          <w:b/>
          <w:bCs/>
        </w:rPr>
        <w:t xml:space="preserve">Rationale:</w:t>
      </w:r>
      <w:r>
        <w:t xml:space="preserve"> </w:t>
      </w:r>
      <w:r>
        <w:t xml:space="preserve">This largely codifies what the ABA already signals in Rule 1.6(c) and Formal Opinion 512 (reasonable-efforts analysis; focus on terms, training, security, and supervision), while making AI transcription explicit rather than implicit.</w:t>
      </w:r>
    </w:p>
    <w:p>
      <w:pPr>
        <w:pStyle w:val="BodyText"/>
      </w:pPr>
      <w:r>
        <w:rPr>
          <w:b/>
          <w:bCs/>
        </w:rPr>
        <w:t xml:space="preserve">Model Rule 1.1 — expand Comment [8] with an AI/transcription sentence</w:t>
      </w:r>
      <w:r>
        <w:t xml:space="preserve"> </w:t>
      </w:r>
      <w:r>
        <w:t xml:space="preserve">(draft addition under existing text):</w:t>
      </w:r>
    </w:p>
    <w:p>
      <w:pPr>
        <w:pStyle w:val="BlockText"/>
      </w:pPr>
      <w:r>
        <w:t xml:space="preserve">Competence includes understanding when tools that record, transcribe, summarize, or analyze communications may create confidentiality, privilege, retention, or admissibility risks, and how to mitigate those risks consistent with the lawyer’s duties.</w:t>
      </w:r>
    </w:p>
    <w:p>
      <w:pPr>
        <w:pStyle w:val="FirstParagraph"/>
      </w:pPr>
      <w:r>
        <w:rPr>
          <w:b/>
          <w:bCs/>
        </w:rPr>
        <w:t xml:space="preserve">Rationale:</w:t>
      </w:r>
      <w:r>
        <w:t xml:space="preserve"> </w:t>
      </w:r>
      <w:r>
        <w:t xml:space="preserve">Comment [8] already anchors technology competence; this makes the privilege/retention dimension explicit to prevent “competence as productivity only.”</w:t>
      </w:r>
    </w:p>
    <w:p>
      <w:pPr>
        <w:pStyle w:val="BodyText"/>
      </w:pPr>
      <w:r>
        <w:rPr>
          <w:b/>
          <w:bCs/>
        </w:rPr>
        <w:t xml:space="preserve">Model Rule 1.4 — add a new Comment focused on record creation</w:t>
      </w:r>
      <w:r>
        <w:t xml:space="preserve"> </w:t>
      </w:r>
      <w:r>
        <w:t xml:space="preserve">(draft):</w:t>
      </w:r>
    </w:p>
    <w:p>
      <w:pPr>
        <w:pStyle w:val="BlockText"/>
      </w:pPr>
      <w:r>
        <w:t xml:space="preserve">When the lawyer or client proposes to record or transcribe a communication relating to the representation using a third-party tool, the lawyer should explain (as reasonably necessary for an informed decision) the material risks and benefits, including potential impacts on confidentiality, privilege, retention, and discovery.</w:t>
      </w:r>
    </w:p>
    <w:p>
      <w:pPr>
        <w:pStyle w:val="FirstParagraph"/>
      </w:pPr>
      <w:r>
        <w:rPr>
          <w:b/>
          <w:bCs/>
        </w:rPr>
        <w:t xml:space="preserve">Rationale:</w:t>
      </w:r>
      <w:r>
        <w:t xml:space="preserve"> </w:t>
      </w:r>
      <w:r>
        <w:t xml:space="preserve">This aligns with the N.Y.C. Bar’s focus on consent and tactical deliberation about recording/transcribing.</w:t>
      </w:r>
    </w:p>
    <w:p>
      <w:pPr>
        <w:pStyle w:val="BodyText"/>
      </w:pPr>
      <w:r>
        <w:rPr>
          <w:b/>
          <w:bCs/>
        </w:rPr>
        <w:t xml:space="preserve">Model Rule 1.15 — add a clarifying Comment related to digital property</w:t>
      </w:r>
      <w:r>
        <w:t xml:space="preserve"> </w:t>
      </w:r>
      <w:r>
        <w:t xml:space="preserve">(draft):</w:t>
      </w:r>
    </w:p>
    <w:p>
      <w:pPr>
        <w:pStyle w:val="BlockText"/>
      </w:pPr>
      <w:r>
        <w:t xml:space="preserve">“Other property” includes client files and information in electronic form, including recordings, transcripts, summaries, and associated metadata generated or maintained in connection with representation. Lawyers should safeguard such materials with appropriate access controls and retention practices and should consider whether vendor-hosted systems are consistent with the lawyer’s duties under Rules 1.6 and 5.3.</w:t>
      </w:r>
    </w:p>
    <w:p>
      <w:pPr>
        <w:pStyle w:val="FirstParagraph"/>
      </w:pPr>
      <w:r>
        <w:rPr>
          <w:b/>
          <w:bCs/>
        </w:rPr>
        <w:t xml:space="preserve">Rationale:</w:t>
      </w:r>
      <w:r>
        <w:t xml:space="preserve"> </w:t>
      </w:r>
      <w:r>
        <w:t xml:space="preserve">AI transcription outputs are not just “notes.” They are data assets that can be lost, breached, or discoverable. Rule 1.15’s fiduciary framing is a natural home for the retention/controls dimension.</w:t>
      </w:r>
    </w:p>
    <w:bookmarkEnd w:id="29"/>
    <w:bookmarkStart w:id="30" w:name="X15a6cad85cc250643a34f77fc08e50995df0819"/>
    <w:p>
      <w:pPr>
        <w:pStyle w:val="Heading3"/>
      </w:pPr>
      <w:r>
        <w:t xml:space="preserve">Proposed amendments to the Federal Rules of Evidence</w:t>
      </w:r>
    </w:p>
    <w:p>
      <w:pPr>
        <w:pStyle w:val="FirstParagraph"/>
      </w:pPr>
      <w:r>
        <w:t xml:space="preserve">Because the Federal Rules of Evidence do not have an explicit attorney-client privilege rule (privilege is governed by common law under FRE 501), the cleanest</w:t>
      </w:r>
      <w:r>
        <w:t xml:space="preserve"> </w:t>
      </w:r>
      <w:r>
        <w:rPr>
          <w:i/>
          <w:iCs/>
        </w:rPr>
        <w:t xml:space="preserve">practical</w:t>
      </w:r>
      <w:r>
        <w:t xml:space="preserve"> </w:t>
      </w:r>
      <w:r>
        <w:t xml:space="preserve">reform path is to expand</w:t>
      </w:r>
      <w:r>
        <w:t xml:space="preserve"> </w:t>
      </w:r>
      <w:r>
        <w:rPr>
          <w:b/>
          <w:bCs/>
        </w:rPr>
        <w:t xml:space="preserve">FRE 502</w:t>
      </w:r>
      <w:r>
        <w:t xml:space="preserve">, which already addresses privilege and work-product waiver consequences and is designed to create predictability.</w:t>
      </w:r>
    </w:p>
    <w:p>
      <w:pPr>
        <w:pStyle w:val="BodyText"/>
      </w:pPr>
      <w:r>
        <w:t xml:space="preserve">I propose adding a new subsection to FRE 502, conceptually parallel to “no waiver” provisions, specifically tailored to “qualified legal technology providers.”</w:t>
      </w:r>
    </w:p>
    <w:p>
      <w:pPr>
        <w:pStyle w:val="BodyText"/>
      </w:pPr>
      <w:r>
        <w:rPr>
          <w:b/>
          <w:bCs/>
        </w:rPr>
        <w:t xml:space="preserve">Draft FRE 502(h): Qualified legal technology provider safe harbor</w:t>
      </w:r>
      <w:r>
        <w:t xml:space="preserve"> </w:t>
      </w:r>
      <w:r>
        <w:t xml:space="preserve">(proposed new text):</w:t>
      </w:r>
    </w:p>
    <w:p>
      <w:pPr>
        <w:pStyle w:val="BlockText"/>
      </w:pPr>
      <w:r>
        <w:rPr>
          <w:b/>
          <w:bCs/>
        </w:rPr>
        <w:t xml:space="preserve">(h) Disclosure to qualified legal technology providers.</w:t>
      </w:r>
      <w:r>
        <w:t xml:space="preserve"> </w:t>
      </w:r>
      <w:r>
        <w:t xml:space="preserve">A disclosure of a communication or information covered by the attorney-client privilege or work-product protection does not operate as a waiver solely because the disclosure was made to a qualified legal technology provider for the purpose of facilitating legal representation, provided that the lawyer (or the lawyer’s client acting at the lawyer’s direction) made reasonable efforts to ensure the provider:</w:t>
      </w:r>
      <w:r>
        <w:br/>
      </w:r>
      <w:r>
        <w:t xml:space="preserve">(1) is bound by enforceable confidentiality obligations;</w:t>
      </w:r>
      <w:r>
        <w:br/>
      </w:r>
      <w:r>
        <w:t xml:space="preserve">(2) does not use the communication or information to train, fine-tune, or improve models or services for persons other than the lawyer or the lawyer’s client, except as necessary to provide the service for that lawyer/client;</w:t>
      </w:r>
      <w:r>
        <w:br/>
      </w:r>
      <w:r>
        <w:t xml:space="preserve">(3) maintains reasonable security safeguards appropriate to the sensitivity of the information; and</w:t>
      </w:r>
      <w:r>
        <w:br/>
      </w:r>
      <w:r>
        <w:t xml:space="preserve">(4) provides commercially reasonable mechanisms for retention control and deletion.</w:t>
      </w:r>
    </w:p>
    <w:p>
      <w:pPr>
        <w:pStyle w:val="FirstParagraph"/>
      </w:pPr>
      <w:r>
        <w:rPr>
          <w:b/>
          <w:bCs/>
        </w:rPr>
        <w:t xml:space="preserve">Draft FRE 502(i): Definitions</w:t>
      </w:r>
      <w:r>
        <w:t xml:space="preserve"> </w:t>
      </w:r>
      <w:r>
        <w:t xml:space="preserve">(proposed new text):</w:t>
      </w:r>
    </w:p>
    <w:p>
      <w:pPr>
        <w:pStyle w:val="BlockText"/>
      </w:pPr>
      <w:r>
        <w:rPr>
          <w:b/>
          <w:bCs/>
        </w:rPr>
        <w:t xml:space="preserve">(i) Qualified legal technology provider</w:t>
      </w:r>
      <w:r>
        <w:t xml:space="preserve"> </w:t>
      </w:r>
      <w:r>
        <w:t xml:space="preserve">means a person or entity that provides technology-enabled services used to facilitate legal representation, including secure communications, cloud storage, transcription, translation, summarization, or analysis, where the provider is engaged under terms that satisfy subdivision (h).</w:t>
      </w:r>
    </w:p>
    <w:p>
      <w:pPr>
        <w:pStyle w:val="FirstParagraph"/>
      </w:pPr>
      <w:r>
        <w:rPr>
          <w:b/>
          <w:bCs/>
        </w:rPr>
        <w:t xml:space="preserve">Why FRE 502 is the right vehicle:</w:t>
      </w:r>
      <w:r>
        <w:t xml:space="preserve"> </w:t>
      </w:r>
      <w:r>
        <w:t xml:space="preserve">FRE 502 already exists to manage waiver consequences in modern discovery and information exchange. AI transcription is disclosure-by-design; it demands a predictable, uniform waiver standard rather than case-by-case improvisation.</w:t>
      </w:r>
    </w:p>
    <w:bookmarkEnd w:id="30"/>
    <w:bookmarkStart w:id="31" w:name="suggested-state-evidence-parallels"/>
    <w:p>
      <w:pPr>
        <w:pStyle w:val="Heading3"/>
      </w:pPr>
      <w:r>
        <w:t xml:space="preserve">Suggested state evidence parallels</w:t>
      </w:r>
    </w:p>
    <w:p>
      <w:pPr>
        <w:pStyle w:val="FirstParagraph"/>
      </w:pPr>
      <w:r>
        <w:t xml:space="preserve">States with statutory privilege definitions can adopt parallel safe-harbor language by amending “confidential communication” definitions to explicitly include disclosure to “qualified legal technology providers” as a permitted third-person presence where necessary to facilitate the representation.</w:t>
      </w:r>
    </w:p>
    <w:p>
      <w:pPr>
        <w:pStyle w:val="BodyText"/>
      </w:pPr>
      <w:r>
        <w:t xml:space="preserve">Two examples illustrate why this is plausible:</w:t>
      </w:r>
    </w:p>
    <w:p>
      <w:pPr>
        <w:pStyle w:val="Compact"/>
        <w:numPr>
          <w:ilvl w:val="0"/>
          <w:numId w:val="1002"/>
        </w:numPr>
      </w:pPr>
      <w:r>
        <w:t xml:space="preserve">California already allows disclosure to persons present to further the client’s interest or to whom disclosure is reasonably necessary for transmission/accomplishing the consultation purpose. A narrowly drafted amendment could clarify that “reasonably necessary” includes qualified technology services used under attorney direction with enforceable confidentiality protections.</w:t>
      </w:r>
    </w:p>
    <w:p>
      <w:pPr>
        <w:pStyle w:val="Compact"/>
        <w:numPr>
          <w:ilvl w:val="0"/>
          <w:numId w:val="1002"/>
        </w:numPr>
      </w:pPr>
      <w:r>
        <w:t xml:space="preserve">Florida similarly defines confidentiality by permitted disclosures “in furtherance of the rendition of legal services.” A state-level safe harbor could expressly incorporate vetted transcription and related services.</w:t>
      </w:r>
    </w:p>
    <w:bookmarkEnd w:id="31"/>
    <w:bookmarkStart w:id="32" w:name="why-reform-is-procedurally-realistic-now"/>
    <w:p>
      <w:pPr>
        <w:pStyle w:val="Heading3"/>
      </w:pPr>
      <w:r>
        <w:t xml:space="preserve">Why reform is procedurally realistic now</w:t>
      </w:r>
    </w:p>
    <w:p>
      <w:pPr>
        <w:pStyle w:val="FirstParagraph"/>
      </w:pPr>
      <w:r>
        <w:t xml:space="preserve">Federal evidence rulemaking is already actively grappling with AI through the proposed</w:t>
      </w:r>
      <w:r>
        <w:t xml:space="preserve"> </w:t>
      </w:r>
      <w:r>
        <w:rPr>
          <w:b/>
          <w:bCs/>
        </w:rPr>
        <w:t xml:space="preserve">FRE 707</w:t>
      </w:r>
      <w:r>
        <w:t xml:space="preserve"> </w:t>
      </w:r>
      <w:r>
        <w:t xml:space="preserve">process on machine-generated evidence (public comment open into February 2026). I’m not arguing FRE 707 should do</w:t>
      </w:r>
      <w:r>
        <w:t xml:space="preserve"> </w:t>
      </w:r>
      <w:r>
        <w:rPr>
          <w:i/>
          <w:iCs/>
        </w:rPr>
        <w:t xml:space="preserve">privilege</w:t>
      </w:r>
      <w:r>
        <w:t xml:space="preserve"> </w:t>
      </w:r>
      <w:r>
        <w:t xml:space="preserve">work—but it demonstrates institutional willingness to modernize evidentiary rules for AI-driven realities.</w:t>
      </w:r>
    </w:p>
    <w:p>
      <w:pPr>
        <w:pStyle w:val="BodyText"/>
      </w:pPr>
      <w:r>
        <w:t xml:space="preserve">If we can contemplate a new evidence rule to address reliability of machine outputs, we can also contemplate a targeted waiver safe harbor that addresses confidentiality mechanics of AI-enabled legal services.</w:t>
      </w:r>
    </w:p>
    <w:bookmarkEnd w:id="32"/>
    <w:bookmarkEnd w:id="33"/>
    <w:bookmarkStart w:id="34" w:name="Xe0e46b23ef711f715586a8f19abbc59ccdc2853"/>
    <w:p>
      <w:pPr>
        <w:pStyle w:val="Heading2"/>
      </w:pPr>
      <w:r>
        <w:t xml:space="preserve">Implementation Tools for Lawyers While Rules Catch Up</w:t>
      </w:r>
    </w:p>
    <w:p>
      <w:pPr>
        <w:pStyle w:val="FirstParagraph"/>
      </w:pPr>
      <w:r>
        <w:t xml:space="preserve">Rule change takes time. Lawyers need decision rules now that operationalize existing duties under ABA Model Rules, state analogs, and privilege doctrine. The point is not to make every lawyer a cybersecurity expert; the point is to make “reasonable efforts” concrete and defensible.</w:t>
      </w:r>
    </w:p>
    <w:p>
      <w:pPr>
        <w:pStyle w:val="SourceCode"/>
      </w:pPr>
      <w:r>
        <w:rPr>
          <w:rStyle w:val="VerbatimChar"/>
        </w:rPr>
        <w:t xml:space="preserve">flowchart TD</w:t>
      </w:r>
      <w:r>
        <w:br/>
      </w:r>
      <w:r>
        <w:rPr>
          <w:rStyle w:val="VerbatimChar"/>
        </w:rPr>
        <w:t xml:space="preserve">A[Client communication involves legal advice] --&gt; B{Record/transcribe?}</w:t>
      </w:r>
      <w:r>
        <w:br/>
      </w:r>
      <w:r>
        <w:rPr>
          <w:rStyle w:val="VerbatimChar"/>
        </w:rPr>
        <w:t xml:space="preserve">B --&gt;|No| C[Take human notes; minimize retention]</w:t>
      </w:r>
      <w:r>
        <w:br/>
      </w:r>
      <w:r>
        <w:rPr>
          <w:rStyle w:val="VerbatimChar"/>
        </w:rPr>
        <w:t xml:space="preserve">B --&gt;|Yes| D{All-party consent required by applicable law?}</w:t>
      </w:r>
      <w:r>
        <w:br/>
      </w:r>
      <w:r>
        <w:rPr>
          <w:rStyle w:val="VerbatimChar"/>
        </w:rPr>
        <w:t xml:space="preserve">D --&gt;|Yes| E[Obtain express consent from all participants]</w:t>
      </w:r>
      <w:r>
        <w:br/>
      </w:r>
      <w:r>
        <w:rPr>
          <w:rStyle w:val="VerbatimChar"/>
        </w:rPr>
        <w:t xml:space="preserve">D --&gt;|No/Unclear| F[Provide notice; obtain consent as best practice]</w:t>
      </w:r>
      <w:r>
        <w:br/>
      </w:r>
      <w:r>
        <w:rPr>
          <w:rStyle w:val="VerbatimChar"/>
        </w:rPr>
        <w:t xml:space="preserve">E --&gt; G{Is tool a qualified provider under firm policy?}</w:t>
      </w:r>
      <w:r>
        <w:br/>
      </w:r>
      <w:r>
        <w:rPr>
          <w:rStyle w:val="VerbatimChar"/>
        </w:rPr>
        <w:t xml:space="preserve">F --&gt; G</w:t>
      </w:r>
      <w:r>
        <w:br/>
      </w:r>
      <w:r>
        <w:rPr>
          <w:rStyle w:val="VerbatimChar"/>
        </w:rPr>
        <w:t xml:space="preserve">G --&gt;|No| H[Do not use consumer bot; consider on-device or court-reporter alternative]</w:t>
      </w:r>
      <w:r>
        <w:br/>
      </w:r>
      <w:r>
        <w:rPr>
          <w:rStyle w:val="VerbatimChar"/>
        </w:rPr>
        <w:t xml:space="preserve">G --&gt;|Yes| I[Configure: no training; minimal retention; access controls]</w:t>
      </w:r>
      <w:r>
        <w:br/>
      </w:r>
      <w:r>
        <w:rPr>
          <w:rStyle w:val="VerbatimChar"/>
        </w:rPr>
        <w:t xml:space="preserve">I --&gt; J[Client communication: explain risks/benefits; document consent if needed]</w:t>
      </w:r>
      <w:r>
        <w:br/>
      </w:r>
      <w:r>
        <w:rPr>
          <w:rStyle w:val="VerbatimChar"/>
        </w:rPr>
        <w:t xml:space="preserve">J --&gt; K[Produce transcript; label; store in secure client file]</w:t>
      </w:r>
      <w:r>
        <w:br/>
      </w:r>
      <w:r>
        <w:rPr>
          <w:rStyle w:val="VerbatimChar"/>
        </w:rPr>
        <w:t xml:space="preserve">K --&gt; L[Retention &amp; deletion schedule; litigation hold triggers]</w:t>
      </w:r>
    </w:p>
    <w:p>
      <w:pPr>
        <w:pStyle w:val="FirstParagraph"/>
      </w:pPr>
      <w:r>
        <w:t xml:space="preserve">The decision framework above is grounded in the notion that consent, confidentiality controls, and retention controls are not “nice to have”—they are the factual predicates courts and ethics authorities will look to when the privilege question inevitably arises.</w:t>
      </w:r>
    </w:p>
    <w:p>
      <w:pPr>
        <w:pStyle w:val="BodyText"/>
      </w:pPr>
      <w:r>
        <w:t xml:space="preserve">And as a reality check, vendor documentation shows why enterprise-grade controls are not interchangeable with consumer defaults. Otter’s policies describe training on de-identified audio and training on transcriptions, and its TOS places consent burdens on users; Anthropic’s consumer terms and privacy policy contemplate model training unless opted out and disclose government-request pathways; Fireflies’ security materials market “no training” and “0-day retention” as differentiators. Those are precisely the kinds of “privilege facts” that will drive waiver analysis.</w:t>
      </w:r>
    </w:p>
    <w:p>
      <w:pPr>
        <w:pStyle w:val="BodyText"/>
      </w:pPr>
      <w:r>
        <w:t xml:space="preserve">Finally, lawyers should understand that</w:t>
      </w:r>
      <w:r>
        <w:t xml:space="preserve"> </w:t>
      </w:r>
      <w:r>
        <w:rPr>
          <w:b/>
          <w:bCs/>
        </w:rPr>
        <w:t xml:space="preserve">FRE 502</w:t>
      </w:r>
      <w:r>
        <w:t xml:space="preserve"> </w:t>
      </w:r>
      <w:r>
        <w:t xml:space="preserve">and related waiver doctrine were created to reduce privilege-waiver chaos in modern discovery. Extending that spirit to qualified AI transcription is not radical; it is consistent with modern evidence policy aimed at predictability.</w:t>
      </w:r>
    </w:p>
    <w:p>
      <w:pPr>
        <w:pStyle w:val="SourceCode"/>
      </w:pPr>
      <w:r>
        <w:rPr>
          <w:rStyle w:val="VerbatimChar"/>
        </w:rPr>
        <w:t xml:space="preserve">timeline</w:t>
      </w:r>
      <w:r>
        <w:br/>
      </w:r>
      <w:r>
        <w:rPr>
          <w:rStyle w:val="VerbatimChar"/>
        </w:rPr>
        <w:t xml:space="preserve">title Key developments driving the ethics–AI transcription tension</w:t>
      </w:r>
      <w:r>
        <w:br/>
      </w:r>
      <w:r>
        <w:rPr>
          <w:rStyle w:val="VerbatimChar"/>
        </w:rPr>
        <w:t xml:space="preserve">2012 : ABA adds "relevant technology" to Rule 1.1 Comment 8 (Ethics 20/20 era)</w:t>
      </w:r>
      <w:r>
        <w:br/>
      </w:r>
      <w:r>
        <w:rPr>
          <w:rStyle w:val="VerbatimChar"/>
        </w:rPr>
        <w:t xml:space="preserve">2017 : ABA Formal Opinion 477 (and 477R) emphasizes "reasonable efforts" for secure electronic communications</w:t>
      </w:r>
      <w:r>
        <w:br/>
      </w:r>
      <w:r>
        <w:rPr>
          <w:rStyle w:val="VerbatimChar"/>
        </w:rPr>
        <w:t xml:space="preserve">2023 : State Bar of California approves Practical Guidance on Generative AI (living document thereafter)</w:t>
      </w:r>
      <w:r>
        <w:br/>
      </w:r>
      <w:r>
        <w:rPr>
          <w:rStyle w:val="VerbatimChar"/>
        </w:rPr>
        <w:t xml:space="preserve">2024 : Florida Bar Ethics Opinion 24-1 addresses generative AI, confidentiality, informed consent, and "self-learning"</w:t>
      </w:r>
      <w:r>
        <w:br/>
      </w:r>
      <w:r>
        <w:rPr>
          <w:rStyle w:val="VerbatimChar"/>
        </w:rPr>
        <w:t xml:space="preserve">2024 : ABA Formal Opinion 512 issues comprehensive GAI ethics framework (competence, confidentiality, communication, supervision, fees)</w:t>
      </w:r>
      <w:r>
        <w:br/>
      </w:r>
      <w:r>
        <w:rPr>
          <w:rStyle w:val="VerbatimChar"/>
        </w:rPr>
        <w:t xml:space="preserve">2025 : Otter.ai privacy policy states training on de-identified audio and transcription-based improvements; AI notetakers surge</w:t>
      </w:r>
      <w:r>
        <w:br/>
      </w:r>
      <w:r>
        <w:rPr>
          <w:rStyle w:val="VerbatimChar"/>
        </w:rPr>
        <w:t xml:space="preserve">2025 : NYC Bar Formal Opinion 2025-6 addresses recording/transcription/summarization of attorney-client calls</w:t>
      </w:r>
      <w:r>
        <w:br/>
      </w:r>
      <w:r>
        <w:rPr>
          <w:rStyle w:val="VerbatimChar"/>
        </w:rPr>
        <w:t xml:space="preserve">2025-2026 : Judicial Conference process advances proposed FRE 707 on "machine-generated evidence" (public comments through Feb 2026)</w:t>
      </w:r>
      <w:r>
        <w:br/>
      </w:r>
      <w:r>
        <w:rPr>
          <w:rStyle w:val="VerbatimChar"/>
        </w:rPr>
        <w:t xml:space="preserve">2026 : Heppner bench ruling treats consumer AI workflow as failing privilege (confidentiality + third-party logic)</w:t>
      </w:r>
    </w:p>
    <w:p>
      <w:pPr>
        <w:pStyle w:val="FirstParagraph"/>
      </w:pPr>
      <w:r>
        <w:t xml:space="preserve">The timeline above is supported by primary ethics sources and the ongoing federal evidence-rule modernization process, reinforcing my conclusion: the law is evolving, but privilege protection is not evolving fast enough to preserve client trust and access in an AI-saturated world.</w:t>
      </w:r>
    </w:p>
    <w:p>
      <w:pPr>
        <w:pStyle w:val="BodyText"/>
      </w:pPr>
      <w:r>
        <w:t xml:space="preserve">[^1]:</w:t>
      </w:r>
      <w:r>
        <w:t xml:space="preserve"> </w:t>
      </w:r>
      <w:r>
        <w:rPr>
          <w:b/>
          <w:bCs/>
        </w:rPr>
        <w:t xml:space="preserve">American Bar Association,</w:t>
      </w:r>
      <w:r>
        <w:t xml:space="preserve"> </w:t>
      </w:r>
      <w:r>
        <w:rPr>
          <w:i/>
          <w:iCs/>
        </w:rPr>
        <w:t xml:space="preserve">Formal Opinion 512: Generative Artificial Intelligence Tools</w:t>
      </w:r>
      <w:r>
        <w:t xml:space="preserve"> </w:t>
      </w:r>
      <w:r>
        <w:t xml:space="preserve">(July 29, 2024).</w:t>
      </w:r>
      <w:r>
        <w:br/>
      </w:r>
      <w:r>
        <w:t xml:space="preserve">[^2]:</w:t>
      </w:r>
      <w:r>
        <w:t xml:space="preserve"> </w:t>
      </w:r>
      <w:r>
        <w:rPr>
          <w:b/>
          <w:bCs/>
        </w:rPr>
        <w:t xml:space="preserve">Model Rules of Pro. Conduct</w:t>
      </w:r>
      <w:r>
        <w:t xml:space="preserve"> </w:t>
      </w:r>
      <w:r>
        <w:t xml:space="preserve">r. 1.1 cmt. 8 (Am. Bar Ass’n).</w:t>
      </w:r>
      <w:r>
        <w:br/>
      </w:r>
      <w:r>
        <w:t xml:space="preserve">[^3]:</w:t>
      </w:r>
      <w:r>
        <w:t xml:space="preserve"> </w:t>
      </w:r>
      <w:r>
        <w:rPr>
          <w:b/>
          <w:bCs/>
        </w:rPr>
        <w:t xml:space="preserve">Model Rules of Pro. Conduct</w:t>
      </w:r>
      <w:r>
        <w:t xml:space="preserve"> </w:t>
      </w:r>
      <w:r>
        <w:t xml:space="preserve">r. 1.6(c) &amp; cmt. 18 (Am. Bar Ass’n).</w:t>
      </w:r>
      <w:r>
        <w:br/>
      </w:r>
      <w:r>
        <w:t xml:space="preserve">[^4]:</w:t>
      </w:r>
      <w:r>
        <w:t xml:space="preserve"> </w:t>
      </w:r>
      <w:r>
        <w:rPr>
          <w:b/>
          <w:bCs/>
        </w:rPr>
        <w:t xml:space="preserve">N.Y.C. Bar Ass’n Comm. on Pro. Ethics,</w:t>
      </w:r>
      <w:r>
        <w:t xml:space="preserve"> </w:t>
      </w:r>
      <w:r>
        <w:t xml:space="preserve">Formal Op. 2025‑6 (Dec. 22, 2025).</w:t>
      </w:r>
      <w:r>
        <w:br/>
      </w:r>
      <w:r>
        <w:t xml:space="preserve">[^5]:</w:t>
      </w:r>
      <w:r>
        <w:t xml:space="preserve"> </w:t>
      </w:r>
      <w:r>
        <w:rPr>
          <w:b/>
          <w:bCs/>
        </w:rPr>
        <w:t xml:space="preserve">The Florida Bar,</w:t>
      </w:r>
      <w:r>
        <w:t xml:space="preserve"> </w:t>
      </w:r>
      <w:r>
        <w:t xml:space="preserve">Ethics Advisory Op. 24‑1 (approved Jan. 19, 2024).</w:t>
      </w:r>
      <w:r>
        <w:br/>
      </w:r>
      <w:r>
        <w:t xml:space="preserve">[^6]:</w:t>
      </w:r>
      <w:r>
        <w:t xml:space="preserve"> </w:t>
      </w:r>
      <w:r>
        <w:rPr>
          <w:b/>
          <w:bCs/>
        </w:rPr>
        <w:t xml:space="preserve">Texas Ctr. for Legal Ethics,</w:t>
      </w:r>
      <w:r>
        <w:t xml:space="preserve"> </w:t>
      </w:r>
      <w:r>
        <w:t xml:space="preserve">Op. 705 (2025).</w:t>
      </w:r>
      <w:r>
        <w:br/>
      </w:r>
      <w:r>
        <w:t xml:space="preserve">[^7]:</w:t>
      </w:r>
      <w:r>
        <w:t xml:space="preserve"> </w:t>
      </w:r>
      <w:r>
        <w:rPr>
          <w:b/>
          <w:bCs/>
        </w:rPr>
        <w:t xml:space="preserve">State Bar of California,</w:t>
      </w:r>
      <w:r>
        <w:t xml:space="preserve"> </w:t>
      </w:r>
      <w:r>
        <w:rPr>
          <w:i/>
          <w:iCs/>
        </w:rPr>
        <w:t xml:space="preserve">Practical Guidance for the Use of Generative Artificial Intelligence in the Practice of Law</w:t>
      </w:r>
      <w:r>
        <w:t xml:space="preserve"> </w:t>
      </w:r>
      <w:r>
        <w:t xml:space="preserve">(approved Nov. 16, 2023; as a living document).</w:t>
      </w:r>
      <w:r>
        <w:br/>
      </w:r>
      <w:r>
        <w:t xml:space="preserve">[^8]:</w:t>
      </w:r>
      <w:r>
        <w:t xml:space="preserve"> </w:t>
      </w:r>
      <w:r>
        <w:rPr>
          <w:b/>
          <w:bCs/>
        </w:rPr>
        <w:t xml:space="preserve">United States v. Heppner</w:t>
      </w:r>
      <w:r>
        <w:t xml:space="preserve">, No. 25 Cr. 503 (JSR) (S.D.N.Y. Feb. 10, 2026) (conference transcript).</w:t>
      </w:r>
      <w:r>
        <w:br/>
      </w:r>
      <w:r>
        <w:t xml:space="preserve">[^9]: Gov’t Mot. for Ruling that AI‑Generated Docs Are Not Privileged,</w:t>
      </w:r>
      <w:r>
        <w:t xml:space="preserve"> </w:t>
      </w:r>
      <w:r>
        <w:rPr>
          <w:b/>
          <w:bCs/>
        </w:rPr>
        <w:t xml:space="preserve">United States v. Heppner</w:t>
      </w:r>
      <w:r>
        <w:t xml:space="preserve">, No. 25 Cr. 503 (JSR), Dkt. 22 (S.D.N.Y. Feb. 6, 2026).</w:t>
      </w:r>
      <w:r>
        <w:br/>
      </w:r>
      <w:r>
        <w:t xml:space="preserve">[^10]: , Privacy Policy (effective Sept. 1, 2024).</w:t>
      </w:r>
      <w:r>
        <w:br/>
      </w:r>
      <w:r>
        <w:t xml:space="preserve">[^11]: , Terms of Service (effective Sept. 19, 2025).</w:t>
      </w:r>
      <w:r>
        <w:br/>
      </w:r>
      <w:r>
        <w:t xml:space="preserve">[^12]: , Consumer Terms of Service (effective Oct. 8, 2025).</w:t>
      </w:r>
      <w:r>
        <w:br/>
      </w:r>
      <w:r>
        <w:t xml:space="preserve">[^13]: , Privacy Policy (effective Jan. 12, 2026).</w:t>
      </w:r>
      <w:r>
        <w:br/>
      </w:r>
      <w:r>
        <w:t xml:space="preserve">[^14]: , Security &amp; Privacy Materials (accessed 2025–2026).</w:t>
      </w:r>
      <w:r>
        <w:br/>
      </w:r>
      <w:r>
        <w:t xml:space="preserve">[^15]:</w:t>
      </w:r>
      <w:r>
        <w:t xml:space="preserve"> </w:t>
      </w:r>
      <w:r>
        <w:rPr>
          <w:b/>
          <w:bCs/>
        </w:rPr>
        <w:t xml:space="preserve">Fed. R. Evid.</w:t>
      </w:r>
      <w:r>
        <w:t xml:space="preserve"> </w:t>
      </w:r>
      <w:r>
        <w:t xml:space="preserve">501–502.</w:t>
      </w:r>
      <w:r>
        <w:br/>
      </w:r>
      <w:r>
        <w:t xml:space="preserve">[^16]:</w:t>
      </w:r>
      <w:r>
        <w:t xml:space="preserve"> </w:t>
      </w:r>
      <w:r>
        <w:rPr>
          <w:b/>
          <w:bCs/>
        </w:rPr>
        <w:t xml:space="preserve">N.Y. C.P.L.R.</w:t>
      </w:r>
      <w:r>
        <w:t xml:space="preserve"> </w:t>
      </w:r>
      <w:r>
        <w:t xml:space="preserve">4503(a)(1) (McKinney).</w:t>
      </w:r>
      <w:r>
        <w:br/>
      </w:r>
      <w:r>
        <w:t xml:space="preserve">[^17]:</w:t>
      </w:r>
      <w:r>
        <w:t xml:space="preserve"> </w:t>
      </w:r>
      <w:r>
        <w:rPr>
          <w:b/>
          <w:bCs/>
        </w:rPr>
        <w:t xml:space="preserve">Cal. Evid. Code</w:t>
      </w:r>
      <w:r>
        <w:t xml:space="preserve"> </w:t>
      </w:r>
      <w:r>
        <w:t xml:space="preserve">§§ 952, 954.</w:t>
      </w:r>
      <w:r>
        <w:br/>
      </w:r>
      <w:r>
        <w:t xml:space="preserve">[^18]:</w:t>
      </w:r>
      <w:r>
        <w:t xml:space="preserve"> </w:t>
      </w:r>
      <w:r>
        <w:rPr>
          <w:b/>
          <w:bCs/>
        </w:rPr>
        <w:t xml:space="preserve">Fla. Stat.</w:t>
      </w:r>
      <w:r>
        <w:t xml:space="preserve"> </w:t>
      </w:r>
      <w:r>
        <w:t xml:space="preserve">§ 90.502.</w:t>
      </w:r>
      <w:r>
        <w:br/>
      </w:r>
      <w:r>
        <w:t xml:space="preserve">[^19]:</w:t>
      </w:r>
      <w:r>
        <w:t xml:space="preserve"> </w:t>
      </w:r>
      <w:r>
        <w:rPr>
          <w:b/>
          <w:bCs/>
        </w:rPr>
        <w:t xml:space="preserve">Tex. R. Evid.</w:t>
      </w:r>
      <w:r>
        <w:t xml:space="preserve"> </w:t>
      </w:r>
      <w:r>
        <w:t xml:space="preserve">503 (effective Sept. 1, 2025).</w:t>
      </w:r>
      <w:r>
        <w:br/>
      </w:r>
      <w:r>
        <w:t xml:space="preserve">[^20]: California recording consent:</w:t>
      </w:r>
      <w:r>
        <w:t xml:space="preserve"> </w:t>
      </w:r>
      <w:r>
        <w:rPr>
          <w:b/>
          <w:bCs/>
        </w:rPr>
        <w:t xml:space="preserve">Cal. Penal Code</w:t>
      </w:r>
      <w:r>
        <w:t xml:space="preserve"> </w:t>
      </w:r>
      <w:r>
        <w:t xml:space="preserve">§ 632(a).</w:t>
      </w:r>
      <w:r>
        <w:br/>
      </w:r>
      <w:r>
        <w:t xml:space="preserve">[^21]: Florida recording consent structure:</w:t>
      </w:r>
      <w:r>
        <w:t xml:space="preserve"> </w:t>
      </w:r>
      <w:r>
        <w:rPr>
          <w:b/>
          <w:bCs/>
        </w:rPr>
        <w:t xml:space="preserve">Fla. Stat.</w:t>
      </w:r>
      <w:r>
        <w:t xml:space="preserve"> </w:t>
      </w:r>
      <w:r>
        <w:t xml:space="preserve">§ 934.03.</w:t>
      </w:r>
      <w:r>
        <w:br/>
      </w:r>
      <w:r>
        <w:t xml:space="preserve">[^22]: Texas interception statute:</w:t>
      </w:r>
      <w:r>
        <w:t xml:space="preserve"> </w:t>
      </w:r>
      <w:r>
        <w:rPr>
          <w:b/>
          <w:bCs/>
        </w:rPr>
        <w:t xml:space="preserve">Tex. Penal Code</w:t>
      </w:r>
      <w:r>
        <w:t xml:space="preserve"> </w:t>
      </w:r>
      <w:r>
        <w:t xml:space="preserve">§ 16.02.</w:t>
      </w:r>
      <w:r>
        <w:br/>
      </w:r>
      <w:r>
        <w:t xml:space="preserve">[^23]: New York one-party consent definition:</w:t>
      </w:r>
      <w:r>
        <w:t xml:space="preserve"> </w:t>
      </w:r>
      <w:r>
        <w:rPr>
          <w:b/>
          <w:bCs/>
        </w:rPr>
        <w:t xml:space="preserve">N.Y. Penal Law</w:t>
      </w:r>
      <w:r>
        <w:t xml:space="preserve"> </w:t>
      </w:r>
      <w:r>
        <w:t xml:space="preserve">§ 250.00(2).</w:t>
      </w:r>
      <w:r>
        <w:br/>
      </w:r>
      <w:r>
        <w:t xml:space="preserve">[^24]: Judicial Conference evidence rules modernization (machine-generated evidence): Hearing packet discussing proposed FRE 707 (Jan. 2026) and public comment process.</w:t>
      </w:r>
    </w:p>
    <w:bookmarkEnd w:id="34"/>
    <w:bookmarkEnd w:id="35"/>
    <w:bookmarkEnd w:id="36"/>
    <w:p>
      <w:r>
        <w:pict>
          <v:rect style="width:0;height:1.5pt" o:hralign="center" o:hrstd="t" o:hr="t"/>
        </w:pict>
      </w:r>
    </w:p>
    <w:bookmarkStart w:id="37" w:name="citations"/>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2026-02-15T02:27:36Z</dcterms:created>
  <dcterms:modified xsi:type="dcterms:W3CDTF">2026-02-15T02:27:36Z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