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pPr>
    </w:p>
    <w:p>
      <w:pPr>
        <w:spacing w:after="0"/>
      </w:pPr>
    </w:p>
    <w:p>
      <w:pPr>
        <w:spacing w:after="80"/>
        <w:jc w:val="center"/>
      </w:pPr>
      <w:r>
        <w:rPr>
          <w:rFonts w:ascii="Arial" w:cs="Arial" w:eastAsia="Arial" w:hAnsi="Arial"/>
          <w:b/>
          <w:bCs/>
          <w:caps/>
          <w:color w:val="2E75B6"/>
          <w:sz w:val="22"/>
          <w:szCs w:val="22"/>
        </w:rPr>
        <w:t xml:space="preserve">LAW.COM LEGALWEEK 2026</w:t>
      </w:r>
    </w:p>
    <w:p>
      <w:pPr>
        <w:pBdr>
          <w:bottom w:val="single" w:color="2E75B6" w:sz="6" w:space="8"/>
        </w:pBdr>
        <w:spacing w:after="80"/>
        <w:jc w:val="center"/>
      </w:pPr>
      <w:r>
        <w:rPr>
          <w:rFonts w:ascii="Georgia" w:cs="Georgia" w:eastAsia="Georgia" w:hAnsi="Georgia"/>
          <w:b/>
          <w:bCs/>
          <w:color w:val="1B3A5C"/>
          <w:sz w:val="52"/>
          <w:szCs w:val="52"/>
        </w:rPr>
        <w:t xml:space="preserve">The Reckoning:</w:t>
      </w:r>
    </w:p>
    <w:p>
      <w:pPr>
        <w:spacing w:after="120"/>
        <w:jc w:val="center"/>
      </w:pPr>
      <w:r>
        <w:rPr>
          <w:rFonts w:ascii="Georgia" w:cs="Georgia" w:eastAsia="Georgia" w:hAnsi="Georgia"/>
          <w:i/>
          <w:iCs/>
          <w:color w:val="1B3A5C"/>
          <w:sz w:val="34"/>
          <w:szCs w:val="34"/>
        </w:rPr>
        <w:t xml:space="preserve">Why Yesterday's Playbook Won't Guarantee Tomorrow's Success</w:t>
      </w:r>
    </w:p>
    <w:p>
      <w:pPr>
        <w:spacing w:after="80"/>
        <w:jc w:val="center"/>
      </w:pPr>
      <w:r>
        <w:rPr>
          <w:rFonts w:ascii="Arial" w:cs="Arial" w:eastAsia="Arial" w:hAnsi="Arial"/>
          <w:color w:val="666666"/>
          <w:sz w:val="20"/>
          <w:szCs w:val="20"/>
        </w:rPr>
        <w:t xml:space="preserve">2026 State of the Industry Keynote  —  Final Day, March 12, 2026</w:t>
      </w:r>
    </w:p>
    <w:p>
      <w:pPr>
        <w:spacing w:after="80"/>
        <w:jc w:val="center"/>
      </w:pPr>
      <w:r>
        <w:rPr>
          <w:rFonts w:ascii="Arial" w:cs="Arial" w:eastAsia="Arial" w:hAnsi="Arial"/>
          <w:color w:val="666666"/>
          <w:sz w:val="18"/>
          <w:szCs w:val="18"/>
        </w:rPr>
        <w:t xml:space="preserve">Speakers: Patrick Fuller, Chief Legal Industry Strategist, Law.com</w:t>
      </w:r>
    </w:p>
    <w:p>
      <w:pPr>
        <w:spacing w:after="80"/>
        <w:jc w:val="center"/>
      </w:pPr>
      <w:r>
        <w:rPr>
          <w:rFonts w:ascii="Arial" w:cs="Arial" w:eastAsia="Arial" w:hAnsi="Arial"/>
          <w:color w:val="666666"/>
          <w:sz w:val="18"/>
          <w:szCs w:val="18"/>
        </w:rPr>
        <w:t xml:space="preserve">Heather Nevitt, Editor-in-Chief, Corporate Coverage, Law.com</w:t>
      </w:r>
    </w:p>
    <w:p>
      <w:pPr>
        <w:spacing w:after="200"/>
        <w:jc w:val="center"/>
      </w:pPr>
      <w:r>
        <w:rPr>
          <w:rFonts w:ascii="Arial" w:cs="Arial" w:eastAsia="Arial" w:hAnsi="Arial"/>
          <w:color w:val="666666"/>
          <w:sz w:val="18"/>
          <w:szCs w:val="18"/>
        </w:rPr>
        <w:t xml:space="preserve">Introduced by Gina Passarella, SVP Content, Law.com</w:t>
      </w:r>
    </w:p>
    <w:p>
      <w:pPr>
        <w:pBdr>
          <w:bottom w:val="single" w:color="CCCCCC" w:sz="2" w:space="8"/>
        </w:pBdr>
        <w:spacing w:after="400"/>
        <w:jc w:val="center"/>
      </w:pPr>
      <w:r>
        <w:rPr>
          <w:rFonts w:ascii="Arial" w:cs="Arial" w:eastAsia="Arial" w:hAnsi="Arial"/>
          <w:i/>
          <w:iCs/>
          <w:color w:val="888888"/>
          <w:sz w:val="18"/>
          <w:szCs w:val="18"/>
        </w:rPr>
        <w:t xml:space="preserve">Coverage by Matt Mishak, Esq.  •  Mishak Law LLC  •  LegalTek.ai</w:t>
      </w:r>
    </w:p>
    <w:p>
      <w:pPr>
        <w:pStyle w:val="Heading1"/>
      </w:pPr>
      <w:r>
        <w:t xml:space="preserve">The Impossible Triangle at the Heart of Big Law</w:t>
      </w:r>
    </w:p>
    <w:p>
      <w:r>
        <w:t xml:space="preserve">Legalweek 2026 closed with a final-day keynote that didn’t sugarcoat anything. Titled </w:t>
      </w:r>
      <w:r>
        <w:rPr>
          <w:i/>
          <w:iCs/>
        </w:rPr>
        <w:t xml:space="preserve">The Reckoning: Why Yesterday’s Playbook Won’t Guarantee Tomorrow’s Success</w:t>
      </w:r>
      <w:r>
        <w:t xml:space="preserve">, the session delivered by Patrick Fuller, Law.com’s Chief Legal Industry Strategist, and Heather Nevitt, Editor-in-Chief of Corporate Coverage, was equal parts forensic data analysis and strategic wake-up call. It was the kind of presentation that makes you quietly reconsider your entire firm’s five-year plan before you’ve finished your morning coffee.</w:t>
      </w:r>
    </w:p>
    <w:p>
      <w:r>
        <w:t xml:space="preserve">The visual anchor for the entire keynote? A Penrose triangle—the famous “impossible object” created by Lionel Penrose and his son Roger in 1958. Each corner appears structurally sound. The geometry looks correct. But the whole shape cannot actually exist in three-dimensional space. Fuller and Nevitt used this as the throughline for their argument: the legal industry’s key metrics—rate increases, rising profits per equity partner, growing headcount—each look solid in isolation. But follow the geometry all the way around, and the structure is an illusion.</w:t>
      </w:r>
    </w:p>
    <w:p>
      <w:r>
        <w:t xml:space="preserve">This article distills the keynote’s major themes, data points, and strategic provocations into a comprehensive recap for legal professionals who weren’t in the room—and a reinforcement for those who were.</w:t>
      </w:r>
    </w:p>
    <w:p>
      <w:pPr>
        <w:pStyle w:val="Heading1"/>
      </w:pPr>
      <w:r>
        <w:t xml:space="preserve">Two Companies, One Lesson: The Power of Self-Disruption</w:t>
      </w:r>
    </w:p>
    <w:p>
      <w:r>
        <w:t xml:space="preserve">Before a single data slide appeared, Fuller and Nevitt took the audience back to the late 1990s and early 2000s with two stories that framed the entire discussion: Apple and Netflix.</w:t>
      </w:r>
    </w:p>
    <w:p>
      <w:pPr>
        <w:pStyle w:val="Heading2"/>
      </w:pPr>
      <w:r>
        <w:t xml:space="preserve">Apple: Killing the iPod on Purpose</w:t>
      </w:r>
    </w:p>
    <w:p>
      <w:r>
        <w:t xml:space="preserve">Apple came into the 2000s bruised. Microsoft had dominated the prior decade, and Apple faced the genuine prospect of becoming, as Fuller put it, “the Kodak of home computers.” The iPod changed everything. By 2006, it represented a staggering 40% of Apple’s total revenue, peaking at 54.8 million units sold in a single year.</w:t>
      </w:r>
    </w:p>
    <w:p>
      <w:r>
        <w:t xml:space="preserve">But in 2004, while iPod sales were still surging, Steve Jobs quietly launched </w:t>
      </w:r>
      <w:r>
        <w:rPr>
          <w:i/>
          <w:iCs/>
        </w:rPr>
        <w:t xml:space="preserve">Project Purple</w:t>
      </w:r>
      <w:r>
        <w:t xml:space="preserve">—a secret internal initiative to build a touchscreen device that could make calls, store music, play movies, and completely upend the software delivery model. If it worked, it would make the iPod—Apple’s lifeline—obsolete.</w:t>
      </w:r>
    </w:p>
    <w:p>
      <w:r>
        <w:t xml:space="preserve">It worked. The iPhone launched in 2007. iPod’s share of Apple revenue began a terminal decline and by 2013 was essentially a rounding error. Apple didn’t mourn the iPod. They had already moved on—because </w:t>
      </w:r>
      <w:r>
        <w:rPr>
          <w:i/>
          <w:iCs/>
        </w:rPr>
        <w:t xml:space="preserve">they</w:t>
      </w:r>
      <w:r>
        <w:t xml:space="preserve"> were the ones who decided to move on.</w:t>
      </w:r>
    </w:p>
    <w:p>
      <w:pPr>
        <w:pStyle w:val="Heading2"/>
      </w:pPr>
      <w:r>
        <w:t xml:space="preserve">Netflix: Cannibalizing the Red Envelope</w:t>
      </w:r>
    </w:p>
    <w:p>
      <w:r>
        <w:t xml:space="preserve">Netflix was the mirror image. While Blockbuster commanded 9,000 physical stores, Netflix had a website and a warehouse. But in 2004, with DVD-by-mail revenue still growing, Reed Hastings began building streaming infrastructure for a market that barely existed—broadband penetration was limited and data caps were common.</w:t>
      </w:r>
    </w:p>
    <w:p>
      <w:r>
        <w:t xml:space="preserve">In 2007, Netflix launched “Watch Instantly” as a streaming add-on. By 2010, it was a standalone service. Blockbuster’s store count, which had been quietly eroding, collapsed. Nine thousand stores became essentially zero within a few years, while Netflix streaming revenue went nearly vertical.</w:t>
      </w:r>
    </w:p>
    <w:p>
      <w:r>
        <w:t xml:space="preserve">The keynote’s critical insight: neither Apple nor Netflix waited for their existing businesses to show signs of failure before building the replacement. They cannibalized themselves </w:t>
      </w:r>
      <w:r>
        <w:rPr>
          <w:i/>
          <w:iCs/>
        </w:rPr>
        <w:t xml:space="preserve">while the business was still working</w:t>
      </w:r>
      <w:r>
        <w:t xml:space="preserve">. They made the uncomfortable bet before they had to. That is the challenge now sitting on every managing partner’s desk.</w:t>
      </w:r>
    </w:p>
    <w:p>
      <w:pPr>
        <w:pStyle w:val="Heading1"/>
      </w:pPr>
      <w:r>
        <w:t xml:space="preserve">The Am Law 200: A Cautionary Census</w:t>
      </w:r>
    </w:p>
    <w:p>
      <w:r>
        <w:t xml:space="preserve">Fuller brought the disruption story directly to the legal industry with a striking piece of data: of the 200 firms on the inaugural Am Law 200 ranking published in 1999, 74 firms—37% of the original list—no longer exist as ranked entities. They have merged, dissolved, or collapsed.</w:t>
      </w:r>
    </w:p>
    <w:p>
      <w:r>
        <w:t xml:space="preserve">These weren’t just lower-tier firms. The casualties included one firm from the top five, four from the top 25, and 30 from the Am Law 100. Collectively, those 74 departed firms represented 27% of the total revenue from the original 1999 ranking.</w:t>
      </w:r>
    </w:p>
    <w:p>
      <w:r>
        <w:t xml:space="preserve">Fuller’s point was blunt: these firms had status, prestige, history, and almost no external threat at the time. “Status is not a strategy,” he said, “and presence is not protection.”</w:t>
      </w:r>
    </w:p>
    <w:p>
      <w:pPr>
        <w:pStyle w:val="Heading1"/>
      </w:pPr>
      <w:r>
        <w:t xml:space="preserve">From Binary Choices to Ternary Strategy</w:t>
      </w:r>
    </w:p>
    <w:p>
      <w:r>
        <w:t xml:space="preserve">One of the keynote’s most compelling frameworks was the concept of </w:t>
      </w:r>
      <w:r>
        <w:rPr>
          <w:b/>
          <w:bCs/>
        </w:rPr>
        <w:t xml:space="preserve">ternary strategy</w:t>
      </w:r>
      <w:r>
        <w:t xml:space="preserve">—a rejection of the binary “build vs. buy” thinking that has dominated legal industry conversations for years.</w:t>
      </w:r>
    </w:p>
    <w:p>
      <w:r>
        <w:t xml:space="preserve">The real strategic question, Fuller argued, isn’t </w:t>
      </w:r>
      <w:r>
        <w:rPr>
          <w:i/>
          <w:iCs/>
        </w:rPr>
        <w:t xml:space="preserve">how</w:t>
      </w:r>
      <w:r>
        <w:t xml:space="preserve"> you respond to disruption. It’s </w:t>
      </w:r>
      <w:r>
        <w:rPr>
          <w:i/>
          <w:iCs/>
        </w:rPr>
        <w:t xml:space="preserve">which disruption you choose to lead</w:t>
      </w:r>
      <w:r>
        <w:t xml:space="preserve">. Firms face three paths: disrupt the market, self-disrupt, or sit back and be disrupted by someone else. Apple and Netflix chose the first two. Blockbuster and a shocking number of Am Law 200 firms chose the third.</w:t>
      </w:r>
    </w:p>
    <w:p>
      <w:r>
        <w:t xml:space="preserve">The firms that will win in this moment, he argued, are the ones asking a fundamentally different question: </w:t>
      </w:r>
      <w:r>
        <w:rPr>
          <w:i/>
          <w:iCs/>
        </w:rPr>
        <w:t xml:space="preserve">“What will work next, and how do we get there first?”</w:t>
      </w:r>
    </w:p>
    <w:p>
      <w:pPr>
        <w:pStyle w:val="Heading1"/>
      </w:pPr>
      <w:r>
        <w:t xml:space="preserve">The In-House Perspective: Composure Under Fire</w:t>
      </w:r>
    </w:p>
    <w:p>
      <w:r>
        <w:t xml:space="preserve">Nevitt’s portion of the keynote shifted focus to what’s happening inside legal departments. Her central observation: after half a decade of rolling crises—pandemic, regulatory whiplash, geopolitical instability, tariff uncertainty—general counsel are no longer in reactive mode. They have structurally absorbed the chaos.</w:t>
      </w:r>
    </w:p>
    <w:p>
      <w:r>
        <w:t xml:space="preserve">The surprise, she noted, isn’t the strain. It’s the composure. Legal leaders have accepted that volatility is not episodic—it is structural. One global GC she quoted put it this way: the constant pace has become the norm. As in-house teams demonstrate value, they’re pulled into more matters, which accelerates demand even further.</w:t>
      </w:r>
    </w:p>
    <w:p>
      <w:pPr>
        <w:pStyle w:val="Heading2"/>
      </w:pPr>
      <w:r>
        <w:t xml:space="preserve">A Redefinition of Purpose</w:t>
      </w:r>
    </w:p>
    <w:p>
      <w:r>
        <w:t xml:space="preserve">Nevitt framed the in-house transformation around three pivots: from reactive to proactive, from bespoke to scalable, and from siloed to integrated. Legal departments are no longer artisanal shops custom-crafting every response. They’re building playbooks, templates, and automated workflows so human judgment can be reserved for the highest-value decisions.</w:t>
      </w:r>
    </w:p>
    <w:p>
      <w:r>
        <w:t xml:space="preserve">She was emphatic that the differentiator isn’t the smartest AI model or the fastest deployment. It’s two irreplaceable human capacities: </w:t>
      </w:r>
      <w:r>
        <w:rPr>
          <w:b/>
          <w:bCs/>
        </w:rPr>
        <w:t xml:space="preserve">leadership through change</w:t>
      </w:r>
      <w:r>
        <w:t xml:space="preserve"> and </w:t>
      </w:r>
      <w:r>
        <w:rPr>
          <w:b/>
          <w:bCs/>
        </w:rPr>
        <w:t xml:space="preserve">ethical judgment</w:t>
      </w:r>
      <w:r>
        <w:t xml:space="preserve">—the ability to ask who benefits, what risk is created, and what trade-offs are acceptable. A Lexology Pro survey she cited found that two-thirds of in-house counsel don’t feel fully equipped in either area, which she positioned as a gap that is simultaneously a massive opportunity.</w:t>
      </w:r>
    </w:p>
    <w:p>
      <w:pPr>
        <w:pStyle w:val="Heading2"/>
      </w:pPr>
      <w:r>
        <w:t xml:space="preserve">AI in the Department: Momentum with the Brake Hovering</w:t>
      </w:r>
    </w:p>
    <w:p>
      <w:r>
        <w:t xml:space="preserve">On AI adoption, the data paints a picture of enthusiastic but cautious deployment. Ninety percent of in-house counsel report increased efficiency when using AI tools. But the number one barrier to deeper adoption remains unclear ROI—teams can feel the speed gains but struggle to quantify them in the language of finance.</w:t>
      </w:r>
    </w:p>
    <w:p>
      <w:r>
        <w:t xml:space="preserve">Accuracy, trustworthiness, data protection, and cybersecurity round out the top concerns. Nevitt compared it to driving a fast car with your foot hovering over the brake. The potential is undeniable, but the guardrails are still being constructed.</w:t>
      </w:r>
    </w:p>
    <w:p>
      <w:pPr>
        <w:pStyle w:val="Heading1"/>
      </w:pPr>
      <w:r>
        <w:t xml:space="preserve">The Rate Illusion: Growth That Isn’t</w:t>
      </w:r>
    </w:p>
    <w:p>
      <w:r>
        <w:t xml:space="preserve">Fuller returned with a deep dive into billing rate data from FY 2020–2024 across the Am Law segments, and this is where the keynote’s Penrose triangle metaphor really crystallized.</w:t>
      </w:r>
    </w:p>
    <w:p>
      <w:r>
        <w:t xml:space="preserve">The headline looks triumphant: by 2024, 100% of Am Law 100 firms reported raising rates by 3% or more. But the further down-market you look, the more inconsistent the picture becomes. Am Law 101–200 firms raised rates unevenly. Unranked firms struggled to clear basic inflationary thresholds even in a year when costs were rising across the board.</w:t>
      </w:r>
    </w:p>
    <w:p>
      <w:r>
        <w:t xml:space="preserve">Fuller called this a “behavioral problem masquerading as a pricing problem.” Mid-market and unranked firms aren’t under-pricing because their value isn’t there. They’re under-pricing because loss aversion—the fear of losing a client—feels more immediate than the slow bleed of profit erosion. The data reality, he emphasized, is that clients are generally far more accepting of rate increases than lawyers assume, especially when the client is focused on total matter cost rather than raw rate numbers.</w:t>
      </w:r>
    </w:p>
    <w:p>
      <w:pPr>
        <w:pStyle w:val="Heading2"/>
      </w:pPr>
      <w:r>
        <w:t xml:space="preserve">Am Law 50: A Different Planet</w:t>
      </w:r>
    </w:p>
    <w:p>
      <w:r>
        <w:t xml:space="preserve">The Am Law 50 FY 2024 breakdowns told a dramatic story. Over 31% of Am Law 50 firms raised rates by 10% or more, and another 56% raised them between 7–9%. These firms, Fuller noted, didn’t ask for permission. They operated on a simple premise: clients expect excellence and will pay for it.</w:t>
      </w:r>
    </w:p>
    <w:p>
      <w:r>
        <w:t xml:space="preserve">Compare that with unranked firms, where 7.5% reported no rate change at all. Same inflationary environment, similar cost pressures, completely different pricing behavior.</w:t>
      </w:r>
    </w:p>
    <w:p>
      <w:pPr>
        <w:pStyle w:val="Heading1"/>
      </w:pPr>
      <w:r>
        <w:t xml:space="preserve">Adjust for Inflation, and the Geometry Breaks</w:t>
      </w:r>
    </w:p>
    <w:p>
      <w:r>
        <w:t xml:space="preserve">The most sobering slide of the keynote came when Fuller applied GDP’s implicit price deflator to five-year compound annual growth rates. This is the microscope that reveals whether nominal growth is real growth or just a hamster wheel.</w:t>
      </w:r>
    </w:p>
    <w:p>
      <w:r>
        <w:rPr>
          <w:b/>
          <w:bCs/>
        </w:rPr>
        <w:t xml:space="preserve">Revenue per lawyer:</w:t>
      </w:r>
      <w:r>
        <w:t xml:space="preserve"> Despite aggressive rate increases, the Am Law 50 is barely positive at 0.7% in real terms. Everyone else is flat or negative. More lawyers plus flat or softening demand means the math simply doesn’t work.</w:t>
      </w:r>
    </w:p>
    <w:p>
      <w:r>
        <w:rPr>
          <w:b/>
          <w:bCs/>
        </w:rPr>
        <w:t xml:space="preserve">Profits per equity partner:</w:t>
      </w:r>
      <w:r>
        <w:t xml:space="preserve"> The Am Law 50 is growing at a staggering inflation-adjusted 4.4%. But Fuller showed exactly how this is being engineered: equity partner headcount is essentially flat, while non-equity partner headcount is growing at 5.8% annually. FY 2024 was the first year that non-equity partners outnumbered equity partners in the Am Law 100. Firms are expanding the non-equity tier while compressing the equity tier—more lawyers generating profit, fewer shareholders splitting it.</w:t>
      </w:r>
    </w:p>
    <w:p>
      <w:r>
        <w:rPr>
          <w:b/>
          <w:bCs/>
        </w:rPr>
        <w:t xml:space="preserve">Profits per lawyer:</w:t>
      </w:r>
      <w:r>
        <w:t xml:space="preserve"> Only the Am Law 50 is in positive territory after inflation. Everyone else is losing ground in real dollars. As Fuller put it: “Several firms are financing the appearance of prosperity while profitability, measured in real inflation-adjusted dollars per lawyer, is quietly eroding. That’s not a headline from our editorial team. That’s a warning from our consulting arm.”</w:t>
      </w:r>
    </w:p>
    <w:p>
      <w:pPr>
        <w:pStyle w:val="Heading1"/>
      </w:pPr>
      <w:r>
        <w:t xml:space="preserve">Talent Wars and the Consolidation Tsunami</w:t>
      </w:r>
    </w:p>
    <w:p>
      <w:r>
        <w:t xml:space="preserve">Nevitt presented data on lateral partner hiring that underscored the consolidation theme. Am Law 200 lateral partner hires rose from 3,349 in FY 2023 to 4,152 in FY 2025—a 20% increase in two years, which, in a profession that moves slowly, qualifies as seismic.</w:t>
      </w:r>
    </w:p>
    <w:p>
      <w:r>
        <w:t xml:space="preserve">But where are those laterals going? The Am Law 50 captured 42% of lateral hires in FY 2023. By FY 2025, that share had climbed to 46%. The largest firms aren’t just raising rates more aggressively—they’re winning the talent market more aggressively too.</w:t>
      </w:r>
    </w:p>
    <w:p>
      <w:r>
        <w:t xml:space="preserve">Since 2020, more than 300 mergers involving over 50,000 lawyers have been executed, announced, or are pending. 2025 was the most active year in the range, and 2026 was already tracking significant activity only three months in. The question Nevitt posed: which firms are merging toward a strategy, and which are merely reacting to competitors’ moves?</w:t>
      </w:r>
    </w:p>
    <w:p>
      <w:pPr>
        <w:pStyle w:val="Heading1"/>
      </w:pPr>
      <w:r>
        <w:t xml:space="preserve">The AI Conviction–Action Gap</w:t>
      </w:r>
    </w:p>
    <w:p>
      <w:r>
        <w:t xml:space="preserve">Fuller introduced findings from a joint survey with Wicker Park, the leading client feedback consultancy, covering over 170 law firms. The results revealed a striking gap between belief and behavior.</w:t>
      </w:r>
    </w:p>
    <w:p>
      <w:r>
        <w:t xml:space="preserve">On a 1–7 scale, firms rated AI’s significance for competitive advantage over the next five years at a median of 6. Near consensus that AI will be a primary differentiator. And yet: only 46% of firms expect AI to produce net revenue growth. Twenty-four percent expect net revenue losses. Twenty-nine percent expect no change at all.</w:t>
      </w:r>
    </w:p>
    <w:p>
      <w:r>
        <w:t xml:space="preserve">Fuller challenged that anxiety directly. The sheer economic force of AI—from increased legal work volume, VC activity, M&amp;A complexity, and entirely new product categories—is going to be transformative in ways the industry hasn’t fully modeled. The revenue opportunity isn’t shrinking; it’s transforming. The question is which firms will capture it.</w:t>
      </w:r>
    </w:p>
    <w:p>
      <w:pPr>
        <w:pStyle w:val="Heading2"/>
      </w:pPr>
      <w:r>
        <w:t xml:space="preserve">What Clients Actually Want</w:t>
      </w:r>
    </w:p>
    <w:p>
      <w:r>
        <w:t xml:space="preserve">Seventy-five percent of law firms believe their clients are demanding faster, cheaper, </w:t>
      </w:r>
      <w:r>
        <w:rPr>
          <w:i/>
          <w:iCs/>
        </w:rPr>
        <w:t xml:space="preserve">and</w:t>
      </w:r>
      <w:r>
        <w:t xml:space="preserve"> smarter—not one or the other, but all three simultaneously. Yet only 49% believe clients want proactive AI-driven insights and horizon scanning. Half of the profession is still primarily selling reactive legal services—exactly the zone where firms self-inflict wounds through excessive discounts and commoditization.</w:t>
      </w:r>
    </w:p>
    <w:p>
      <w:r>
        <w:t xml:space="preserve">Nevitt distilled what corporate counsel want from outside partners into five priorities: efficiency through technology, transparency on AI use, outcome-oriented pricing, domain fluency and integration, and risk-aware innovation with guardrails. She cited Salesforce CLO Sebastian Niles’ statement from earlier in the week that the era of AI pilots is over and that efficiency gains shared with clients are no longer optional.</w:t>
      </w:r>
    </w:p>
    <w:p>
      <w:r>
        <w:t xml:space="preserve">Her summation: “AI is not going to replace lawyers. But lawyers who build relationships and incorporate AI will absolutely replace lawyers who don’t.”</w:t>
      </w:r>
    </w:p>
    <w:p>
      <w:pPr>
        <w:pStyle w:val="Heading1"/>
      </w:pPr>
      <w:r>
        <w:t xml:space="preserve">Illusory Superiority and the GPS Without Roads</w:t>
      </w:r>
    </w:p>
    <w:p>
      <w:r>
        <w:t xml:space="preserve">Perhaps the most uncomfortable data from the Wicker Park survey involved firm self-assessment. Firms rated their overall AI adoption progress at 4 out of 7—encouraging on its face. But when asked specifically about their lawyers’ actual preparedness to use AI tools, that number dropped to 3.9. Same firms. Same survey. Different questions. A gap that reveals exactly where belief ends and reality begins.</w:t>
      </w:r>
    </w:p>
    <w:p>
      <w:r>
        <w:t xml:space="preserve">Seventy-five percent of firms are offering AI training and upskilling. Sounds like progress—until you learn that 66% said they are </w:t>
      </w:r>
      <w:r>
        <w:rPr>
          <w:i/>
          <w:iCs/>
        </w:rPr>
        <w:t xml:space="preserve">not</w:t>
      </w:r>
      <w:r>
        <w:t xml:space="preserve"> hiring the professional specialists needed to actually sustain that adoption. Fuller’s analogy was memorable: “You can train people to peel an orange, but if you painted it blue and told everyone it’s something else entirely, training alone isn’t going to solve the problem.” Firms are handing people a GPS and a map without building the roads. That’s not an AI strategy. That’s an AI announcement.</w:t>
      </w:r>
    </w:p>
    <w:p>
      <w:pPr>
        <w:pStyle w:val="Heading1"/>
      </w:pPr>
      <w:r>
        <w:t xml:space="preserve">The Fee–Compensation–Technology Triangle: Still Impossible</w:t>
      </w:r>
    </w:p>
    <w:p>
      <w:r>
        <w:t xml:space="preserve">Only 19% of firms have modified their fee engagements in any way to align with increased AI adoption. Seventy-two percent have no plans—or simply don’t know whether they’ll change attorney compensation structures to account for AI use.</w:t>
      </w:r>
    </w:p>
    <w:p>
      <w:r>
        <w:t xml:space="preserve">Fuller mapped this back to the Penrose triangle: for technology-driven change to be sustainable, three things must align—fee engagements, behavioral incentives, and the technology itself. Advance any one without the others, and you’ve built the illusion of a triangle, not a real one. As his colleague Tim Parker has framed it: </w:t>
      </w:r>
      <w:r>
        <w:rPr>
          <w:i/>
          <w:iCs/>
        </w:rPr>
        <w:t xml:space="preserve">“If your compensation plan is in conflict with your strategic plan, then your compensation plan is your strategic plan.”</w:t>
      </w:r>
    </w:p>
    <w:p>
      <w:pPr>
        <w:pStyle w:val="Heading1"/>
      </w:pPr>
      <w:r>
        <w:t xml:space="preserve">The Productivity Paradox: Have the Patience to Let It Grow</w:t>
      </w:r>
    </w:p>
    <w:p>
      <w:r>
        <w:t xml:space="preserve">The keynote’s closing arc invoked economist Erik Brynjolfsson’s “productivity paradox”—the well-documented lag between the arrival of transformative technology and its measurable impact on output. You invest. You wait. You question the investment. Your partners question it. And then, if you’ve built the right infrastructure, the gains arrive.</w:t>
      </w:r>
    </w:p>
    <w:p>
      <w:r>
        <w:t xml:space="preserve">Apple and Netflix understood their own productivity paradoxes were coming. They planned for them. They didn’t let short-term performance anxiety drive them back to the old model, even when shareholders and analysts were skeptical.</w:t>
      </w:r>
    </w:p>
    <w:p>
      <w:r>
        <w:t xml:space="preserve">The legal industry is in the midst of its own productivity paradox right now. The seeds are in the ground. The question, as Nevitt put it, is whether firms have the patience and the strategic conviction to wait for them to grow.</w:t>
      </w:r>
    </w:p>
    <w:p>
      <w:pPr>
        <w:pStyle w:val="Heading1"/>
      </w:pPr>
      <w:r>
        <w:t xml:space="preserve">Key Takeaways</w:t>
      </w:r>
    </w:p>
    <w:p>
      <w:pPr>
        <w:pStyle w:val="ListParagraph"/>
        <w:numPr>
          <w:ilvl w:val="0"/>
          <w:numId w:val="2"/>
        </w:numPr>
        <w:spacing w:after="200"/>
      </w:pPr>
      <w:r>
        <w:rPr>
          <w:b/>
          <w:bCs/>
        </w:rPr>
        <w:t xml:space="preserve">Status Is Not a Strategy. </w:t>
      </w:r>
      <w:r>
        <w:t xml:space="preserve">Thirty-seven percent of the original Am Law 200 are gone. They had status, history, and brand equity. None of it was a substitute for strategic adaptation. Presence is not protection.</w:t>
      </w:r>
    </w:p>
    <w:p>
      <w:pPr>
        <w:pStyle w:val="ListParagraph"/>
        <w:numPr>
          <w:ilvl w:val="0"/>
          <w:numId w:val="2"/>
        </w:numPr>
        <w:spacing w:after="200"/>
      </w:pPr>
      <w:r>
        <w:rPr>
          <w:b/>
          <w:bCs/>
        </w:rPr>
        <w:t xml:space="preserve">Self-Disruption Is the Only Sustainable Advantage. </w:t>
      </w:r>
      <w:r>
        <w:t xml:space="preserve">Apple killed the iPod. Netflix killed the red envelope. Both did it while the business was still working. The firms that thrive will be the ones willing to cannibalize today’s revenue model to build tomorrow’s.</w:t>
      </w:r>
    </w:p>
    <w:p>
      <w:pPr>
        <w:pStyle w:val="ListParagraph"/>
        <w:numPr>
          <w:ilvl w:val="0"/>
          <w:numId w:val="2"/>
        </w:numPr>
        <w:spacing w:after="200"/>
      </w:pPr>
      <w:r>
        <w:rPr>
          <w:b/>
          <w:bCs/>
        </w:rPr>
        <w:t xml:space="preserve">The Penrose Triangle Is the Perfect Metaphor for Big Law Financials. </w:t>
      </w:r>
      <w:r>
        <w:t xml:space="preserve">Rate increases are up. PEP is up. Headcount is growing. But inflation-adjusted profits per lawyer tell a different story. The structure looks coherent from a distance and reveals its fragility up close.</w:t>
      </w:r>
    </w:p>
    <w:p>
      <w:pPr>
        <w:pStyle w:val="ListParagraph"/>
        <w:numPr>
          <w:ilvl w:val="0"/>
          <w:numId w:val="2"/>
        </w:numPr>
        <w:spacing w:after="200"/>
      </w:pPr>
      <w:r>
        <w:rPr>
          <w:b/>
          <w:bCs/>
        </w:rPr>
        <w:t xml:space="preserve">The Middle Market Is Under-Pricing Out of Fear, Not Necessity. </w:t>
      </w:r>
      <w:r>
        <w:t xml:space="preserve">Loss aversion is contagious. Clients are more accepting of rate increases than lawyers assume. The profit leakage from timid pricing is real and compounding.</w:t>
      </w:r>
    </w:p>
    <w:p>
      <w:pPr>
        <w:pStyle w:val="ListParagraph"/>
        <w:numPr>
          <w:ilvl w:val="0"/>
          <w:numId w:val="2"/>
        </w:numPr>
        <w:spacing w:after="200"/>
      </w:pPr>
      <w:r>
        <w:rPr>
          <w:b/>
          <w:bCs/>
        </w:rPr>
        <w:t xml:space="preserve">In-House Has Fundamentally Changed. </w:t>
      </w:r>
      <w:r>
        <w:t xml:space="preserve">General counsel are no longer in crisis mode—they’ve absorbed the chaos structurally. They want proactive partners who speak business, not reactive service providers who speak billable hours.</w:t>
      </w:r>
    </w:p>
    <w:p>
      <w:pPr>
        <w:pStyle w:val="ListParagraph"/>
        <w:numPr>
          <w:ilvl w:val="0"/>
          <w:numId w:val="2"/>
        </w:numPr>
        <w:spacing w:after="200"/>
      </w:pPr>
      <w:r>
        <w:rPr>
          <w:b/>
          <w:bCs/>
        </w:rPr>
        <w:t xml:space="preserve">AI Conviction Without Structural Realignment Is Theater. </w:t>
      </w:r>
      <w:r>
        <w:t xml:space="preserve">Firms overwhelmingly believe AI is a game-changer but only 19% have adjusted fees and 72% haven’t touched compensation. Without aligning pricing, incentives, and technology together, it’s an illusion of progress.</w:t>
      </w:r>
    </w:p>
    <w:p>
      <w:pPr>
        <w:pStyle w:val="ListParagraph"/>
        <w:numPr>
          <w:ilvl w:val="0"/>
          <w:numId w:val="2"/>
        </w:numPr>
        <w:spacing w:after="200"/>
      </w:pPr>
      <w:r>
        <w:rPr>
          <w:b/>
          <w:bCs/>
        </w:rPr>
        <w:t xml:space="preserve">The Question Isn’t What Are You Changing—It’s What Are You Willing to Redesign? </w:t>
      </w:r>
      <w:r>
        <w:t xml:space="preserve">Not adopted. Redesigned. That’s the difference between bolting a new tool onto old workflows and building a genuinely new blueprint for the profession.</w:t>
      </w:r>
    </w:p>
    <w:p>
      <w:pPr>
        <w:spacing w:before="300"/>
      </w:pPr>
    </w:p>
    <w:p>
      <w:pPr>
        <w:pBdr>
          <w:top w:val="single" w:color="2E75B6" w:sz="4" w:space="8"/>
        </w:pBdr>
        <w:spacing w:before="200"/>
      </w:pPr>
      <w:r>
        <w:rPr>
          <w:i/>
          <w:iCs/>
        </w:rPr>
        <w:t xml:space="preserve">The closing question Fuller and Nevitt left with the room—and that now sits with every managing partner, general counsel, and legal operations leader reading this—is deceptively simple: </w:t>
      </w:r>
      <w:r>
        <w:rPr>
          <w:b/>
          <w:bCs/>
          <w:i/>
          <w:iCs/>
        </w:rPr>
        <w:t xml:space="preserve">What are you willing to redesign?</w:t>
      </w:r>
    </w:p>
    <w:p>
      <w:r>
        <w:rPr>
          <w:i/>
          <w:iCs/>
        </w:rPr>
        <w:t xml:space="preserve">Because the firms that win from this moment forward will not be the ones that deployed an AI tool in 2024 or 2025. They will be the ones who used AI as the catalyst for rethinking pricing, compensation, talent infrastructure, and client relationships from the ground up. Not adopted. Redesigned.</w:t>
      </w:r>
    </w:p>
    <w:p>
      <w:pPr>
        <w:spacing w:after="100" w:before="200"/>
      </w:pPr>
      <w:r>
        <w:rPr>
          <w:rFonts w:ascii="Arial" w:cs="Arial" w:eastAsia="Arial" w:hAnsi="Arial"/>
          <w:b/>
          <w:bCs/>
          <w:color w:val="2E75B6"/>
          <w:sz w:val="20"/>
          <w:szCs w:val="20"/>
        </w:rPr>
        <w:t xml:space="preserve">Save the Date: Legalweek 2027 — March 1–3, 2027 — North Javits Convention Center, New York City</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CCCCC" w:sz="2" w:space="4"/>
      </w:pBdr>
      <w:jc w:val="center"/>
    </w:pPr>
    <w:r>
      <w:rPr>
        <w:rFonts w:ascii="Arial" w:cs="Arial" w:eastAsia="Arial" w:hAnsi="Arial"/>
        <w:color w:val="999999"/>
        <w:sz w:val="16"/>
        <w:szCs w:val="16"/>
      </w:rPr>
      <w:t xml:space="preserve">Page </w:t>
    </w:r>
    <w:r>
      <w:rPr>
        <w:rFonts w:ascii="Arial" w:cs="Arial" w:eastAsia="Arial" w:hAnsi="Arial"/>
        <w:color w:val="999999"/>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2E75B6" w:sz="4" w:space="4"/>
      </w:pBdr>
      <w:jc w:val="right"/>
    </w:pPr>
    <w:r>
      <w:rPr>
        <w:rFonts w:ascii="Arial" w:cs="Arial" w:eastAsia="Arial" w:hAnsi="Arial"/>
        <w:i/>
        <w:iCs/>
        <w:color w:val="999999"/>
        <w:sz w:val="16"/>
        <w:szCs w:val="16"/>
      </w:rPr>
      <w:t xml:space="preserve">Legalweek 2026  |  State of the Industry Keynote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color w:val="333333"/>
        <w:sz w:val="23"/>
        <w:szCs w:val="23"/>
      </w:rPr>
    </w:rPrDefault>
    <w:pPrDefault>
      <w:pPr>
        <w:spacing w:after="200" w:line="300"/>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360"/>
      <w:outlineLvl w:val="0"/>
    </w:pPr>
    <w:rPr>
      <w:rFonts w:ascii="Arial" w:cs="Arial" w:eastAsia="Arial" w:hAnsi="Arial"/>
      <w:b/>
      <w:bCs/>
      <w:color w:val="1B3A5C"/>
      <w:sz w:val="36"/>
      <w:szCs w:val="36"/>
    </w:rPr>
  </w:style>
  <w:style w:type="paragraph" w:styleId="Heading2">
    <w:name w:val="Heading 2"/>
    <w:basedOn w:val="Normal"/>
    <w:next w:val="Normal"/>
    <w:qFormat/>
    <w:pPr>
      <w:spacing w:after="160" w:before="300"/>
      <w:outlineLvl w:val="1"/>
    </w:pPr>
    <w:rPr>
      <w:rFonts w:ascii="Arial" w:cs="Arial" w:eastAsia="Arial" w:hAnsi="Arial"/>
      <w:b/>
      <w:bCs/>
      <w:color w:val="2E75B6"/>
      <w:sz w:val="28"/>
      <w:szCs w:val="28"/>
    </w:rPr>
  </w:style>
  <w:style w:type="paragraph" w:styleId="Heading3">
    <w:name w:val="Heading 3"/>
    <w:basedOn w:val="Normal"/>
    <w:next w:val="Normal"/>
    <w:qFormat/>
    <w:pPr>
      <w:spacing w:after="120" w:before="240"/>
      <w:outlineLvl w:val="2"/>
    </w:pPr>
    <w:rPr>
      <w:rFonts w:ascii="Arial" w:cs="Arial" w:eastAsia="Arial" w:hAnsi="Arial"/>
      <w:b/>
      <w:bCs/>
      <w:color w:val="1B3A5C"/>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2026-03-12T15:41:33.218Z</dcterms:created>
  <dcterms:modified xsi:type="dcterms:W3CDTF">2026-03-12T15:41:33.219Z</dcterms:modified>
</cp:coreProperties>
</file>

<file path=docProps/custom.xml><?xml version="1.0" encoding="utf-8"?>
<Properties xmlns="http://schemas.openxmlformats.org/officeDocument/2006/custom-properties" xmlns:vt="http://schemas.openxmlformats.org/officeDocument/2006/docPropsVTypes"/>
</file>