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pBdr>
          <w:bottom w:val="single" w:color="1B3A5C" w:sz="6" w:space="12"/>
        </w:pBdr>
        <w:spacing w:after="200"/>
        <w:jc w:val="center"/>
      </w:pPr>
      <w:r>
        <w:rPr>
          <w:rFonts w:ascii="Arial" w:cs="Arial" w:eastAsia="Arial" w:hAnsi="Arial"/>
          <w:b/>
          <w:bCs/>
          <w:color w:val="1B3A5C"/>
          <w:sz w:val="52"/>
          <w:szCs w:val="52"/>
        </w:rPr>
        <w:t xml:space="preserve">The Legal AI Value Stack: Five Levels of Defensibility</w:t>
      </w:r>
    </w:p>
    <w:p>
      <w:pPr>
        <w:spacing w:after="120"/>
      </w:pPr>
    </w:p>
    <w:p>
      <w:pPr>
        <w:spacing w:after="600"/>
        <w:jc w:val="center"/>
      </w:pPr>
      <w:r>
        <w:rPr>
          <w:rFonts w:ascii="Georgia" w:cs="Georgia" w:eastAsia="Georgia" w:hAnsi="Georgia"/>
          <w:i/>
          <w:iCs/>
          <w:color w:val="555555"/>
          <w:sz w:val="26"/>
          <w:szCs w:val="26"/>
        </w:rPr>
        <w:t xml:space="preserve">How Vertical Legal Technology Companies Build Durable Competitive Advantages in the Age of Foundation Models</w:t>
      </w:r>
    </w:p>
    <w:p>
      <w:pPr>
        <w:spacing w:after="80"/>
        <w:jc w:val="center"/>
      </w:pPr>
      <w:r>
        <w:rPr>
          <w:rFonts w:ascii="Arial" w:cs="Arial" w:eastAsia="Arial" w:hAnsi="Arial"/>
          <w:b/>
          <w:bCs/>
          <w:sz w:val="28"/>
          <w:szCs w:val="28"/>
        </w:rPr>
        <w:t xml:space="preserve">Matthew M. Mishak, Esq.</w:t>
      </w:r>
    </w:p>
    <w:p>
      <w:pPr>
        <w:spacing w:after="80"/>
        <w:jc w:val="center"/>
      </w:pPr>
      <w:r>
        <w:rPr>
          <w:rFonts w:ascii="Georgia" w:cs="Georgia" w:eastAsia="Georgia" w:hAnsi="Georgia"/>
          <w:color w:val="666666"/>
          <w:sz w:val="20"/>
          <w:szCs w:val="20"/>
        </w:rPr>
        <w:t xml:space="preserve">Managing Attorney, Mishak Law LLC | Founder &amp; CEO, LegalTek.ai LLC (d/b/a SilverTung)</w:t>
      </w:r>
    </w:p>
    <w:p>
      <w:pPr>
        <w:spacing w:after="200"/>
        <w:jc w:val="center"/>
      </w:pPr>
      <w:r>
        <w:rPr>
          <w:rFonts w:ascii="Georgia" w:cs="Georgia" w:eastAsia="Georgia" w:hAnsi="Georgia"/>
          <w:sz w:val="22"/>
          <w:szCs w:val="22"/>
        </w:rPr>
        <w:t xml:space="preserve">March 2026</w:t>
      </w:r>
    </w:p>
    <w:p>
      <w:pPr>
        <w:spacing w:before="1200"/>
      </w:pPr>
    </w:p>
    <w:p>
      <w:pPr>
        <w:pBdr>
          <w:top w:val="single" w:color="B0C4DE" w:sz="1" w:space="12"/>
        </w:pBdr>
        <w:spacing w:after="120" w:before="200"/>
        <w:jc w:val="center"/>
      </w:pPr>
      <w:r>
        <w:rPr>
          <w:rFonts w:ascii="Arial" w:cs="Arial" w:eastAsia="Arial" w:hAnsi="Arial"/>
          <w:b/>
          <w:bCs/>
          <w:color w:val="888888"/>
          <w:sz w:val="18"/>
          <w:szCs w:val="18"/>
        </w:rPr>
        <w:t xml:space="preserve">WORKING PAPER</w:t>
      </w:r>
    </w:p>
    <w:p>
      <w:pPr>
        <w:jc w:val="center"/>
      </w:pPr>
      <w:r>
        <w:rPr>
          <w:rFonts w:ascii="Georgia" w:cs="Georgia" w:eastAsia="Georgia" w:hAnsi="Georgia"/>
          <w:i/>
          <w:iCs/>
          <w:color w:val="888888"/>
          <w:sz w:val="18"/>
          <w:szCs w:val="18"/>
        </w:rPr>
        <w:t xml:space="preserve">Prepared for publication on LinkedIn and LegalTek.ai</w:t>
      </w:r>
    </w:p>
    <w:p>
      <w:pPr>
        <w:sectPr>
          <w:pgSz w:w="12240" w:h="15840" w:orient="portrait"/>
          <w:pgMar w:top="1440" w:right="1440" w:bottom="1440" w:left="1440" w:header="708" w:footer="708" w:gutter="0"/>
          <w:pgNumType/>
          <w:docGrid w:linePitch="360"/>
        </w:sectPr>
      </w:pPr>
    </w:p>
    <w:p>
      <w:pPr>
        <w:pStyle w:val="Heading1"/>
      </w:pPr>
      <w:r>
        <w:rPr>
          <w:rFonts w:ascii="Arial" w:cs="Arial" w:eastAsia="Arial" w:hAnsi="Arial"/>
        </w:rPr>
        <w:t xml:space="preserve">Abstract</w:t>
      </w:r>
    </w:p>
    <w:p>
      <w:pPr>
        <w:spacing w:after="200" w:line="276"/>
        <w:jc w:val="both"/>
      </w:pPr>
      <w:r>
        <w:rPr>
          <w:rFonts w:ascii="Georgia" w:cs="Georgia" w:eastAsia="Georgia" w:hAnsi="Georgia"/>
          <w:sz w:val="24"/>
          <w:szCs w:val="24"/>
        </w:rPr>
        <w:t xml:space="preserve">The rapid proliferation of AI-powered legal technology platforms has created a paradox: it has never been easier to launch a legal AI product, and it has never been harder to build one that endures. As foundation models from OpenAI, Anthropic, and Google commoditize the raw cognitive capabilities underlying legal analysis, the critical question for legal technology companies shifts from whether they can build an effective product to whether they can build a defensible one. This article proposes a five-level framework—the Legal AI Value Stack—for analyzing where durable competitive advantage resides in the legal AI ecosystem. Drawing on emerging market data, economic analysis of vertical AI companies, and observed patterns among leading platforms such as Harvey, Eve Legal, CoCounsel, Clio, and BriefPoint, this article argues that defensibility in legal AI is not a function of model sophistication but of structural positioning within the value chain. The five levels—Foundation Model Access, Workflow Integration, Proprietary Data Accumulation, Outcome Intelligence, and Regulatory-Ethical Moats—represent an ascending hierarchy of competitive durability, with profound implications for founders, investors, and the practicing bar.</w:t>
      </w:r>
    </w:p>
    <w:p>
      <w:pPr>
        <w:pStyle w:val="Heading1"/>
      </w:pPr>
      <w:r>
        <w:rPr>
          <w:rFonts w:ascii="Arial" w:cs="Arial" w:eastAsia="Arial" w:hAnsi="Arial"/>
        </w:rPr>
        <w:t xml:space="preserve">1. Introduction: The Defensibility Crisis in Legal AI</w:t>
      </w:r>
    </w:p>
    <w:p>
      <w:pPr>
        <w:spacing w:after="200" w:line="276"/>
        <w:jc w:val="both"/>
      </w:pPr>
      <w:r>
        <w:rPr>
          <w:rFonts w:ascii="Georgia" w:cs="Georgia" w:eastAsia="Georgia" w:hAnsi="Georgia"/>
          <w:sz w:val="24"/>
          <w:szCs w:val="24"/>
        </w:rPr>
        <w:t xml:space="preserve">The legal technology sector is undergoing its most significant transformation since the digitization of case law databases in the 1990s. Artificial intelligence, and specifically large language models, have demonstrated remarkable capacity for tasks long considered the exclusive province of trained attorneys: statutory analysis, contract review, legal research, document drafting, and even preliminary case evaluation. Industry estimates project that the global legal AI market will exceed $4 billion by 2027, with adoption rates among AmLaw 200 firms already approaching saturation for basic AI-assisted research tools.</w:t>
      </w:r>
    </w:p>
    <w:p>
      <w:pPr>
        <w:spacing w:after="200" w:line="276"/>
        <w:jc w:val="both"/>
      </w:pPr>
      <w:r>
        <w:rPr>
          <w:rFonts w:ascii="Georgia" w:cs="Georgia" w:eastAsia="Georgia" w:hAnsi="Georgia"/>
          <w:sz w:val="24"/>
          <w:szCs w:val="24"/>
        </w:rPr>
        <w:t xml:space="preserve">Yet beneath the surface of this adoption wave lies a structural vulnerability that most market participants have failed to confront. The very capabilities that make legal AI products valuable—natural language understanding, contextual reasoning, document generation—are increasingly provided by a small number of foundation model companies whose improvements systematically erode the technical differentiation of downstream applications. When Anthropic releases a more capable version of Claude, or when OpenAI pushes a new GPT iteration, every legal AI product built atop those models simultaneously improves—and simultaneously becomes harder to distinguish from its competitors.</w:t>
      </w:r>
    </w:p>
    <w:p>
      <w:pPr>
        <w:spacing w:after="200" w:line="276"/>
        <w:jc w:val="both"/>
      </w:pPr>
      <w:r>
        <w:rPr>
          <w:rFonts w:ascii="Georgia" w:cs="Georgia" w:eastAsia="Georgia" w:hAnsi="Georgia"/>
          <w:sz w:val="24"/>
          <w:szCs w:val="24"/>
        </w:rPr>
        <w:t xml:space="preserve">This dynamic creates what might be termed a defensibility crisis: the more capable foundation models become, the more difficult it becomes for application-layer legal AI companies to maintain pricing power, customer loyalty, or competitive separation. A legal brief that once required a proprietary fine-tuned model can now be competently drafted through a carefully prompted commercial API call. The question confronting every legal AI founder, investor, and enterprise buyer is therefore not whether AI can perform legal tasks—that question is settled—but where in the value chain sustainable competitive advantage actually resides.</w:t>
      </w:r>
    </w:p>
    <w:p>
      <w:pPr>
        <w:spacing w:after="200" w:line="276"/>
        <w:jc w:val="both"/>
      </w:pPr>
      <w:r>
        <w:rPr>
          <w:rFonts w:ascii="Georgia" w:cs="Georgia" w:eastAsia="Georgia" w:hAnsi="Georgia"/>
          <w:sz w:val="24"/>
          <w:szCs w:val="24"/>
        </w:rPr>
        <w:t xml:space="preserve">This article proposes a five-level analytical framework for answering that question. The Legal AI Value Stack identifies the structural layers at which legal technology companies can build durable moats, ranging from the most easily replicated (raw model access) to the most resistant to competitive displacement (regulatory-ethical positioning). Each level is examined through the lens of current market examples, economic dynamics, and implications for Ohio practitioners and the broader legal profession.</w:t>
      </w:r>
    </w:p>
    <w:p>
      <w:pPr>
        <w:pStyle w:val="Heading1"/>
      </w:pPr>
      <w:r>
        <w:rPr>
          <w:rFonts w:ascii="Arial" w:cs="Arial" w:eastAsia="Arial" w:hAnsi="Arial"/>
        </w:rPr>
        <w:t xml:space="preserve">2. The Legal AI Value Stack: A Five-Level Framework</w:t>
      </w:r>
    </w:p>
    <w:p>
      <w:pPr>
        <w:spacing w:after="200" w:line="276"/>
        <w:jc w:val="both"/>
      </w:pPr>
      <w:r>
        <w:rPr>
          <w:rFonts w:ascii="Georgia" w:cs="Georgia" w:eastAsia="Georgia" w:hAnsi="Georgia"/>
          <w:sz w:val="24"/>
          <w:szCs w:val="24"/>
        </w:rPr>
        <w:t xml:space="preserve">The Legal AI Value Stack is structured as an ascending hierarchy. Each successive level represents a deeper, more structurally embedded form of competitive advantage. Companies operating exclusively at lower levels face constant commoditization pressure; those that ascend through the stack build compounding advantages that become progressively more difficult for competitors to replicate.</w:t>
      </w:r>
    </w:p>
    <w:p>
      <w:pPr>
        <w:spacing w:after="200"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3600"/>
        <w:gridCol w:w="3360"/>
      </w:tblGrid>
      <w:tr>
        <w:trPr>
          <w:tblHeader/>
        </w:trPr>
        <w:tc>
          <w:tcPr>
            <w:tcW w:type="dxa" w:w="600"/>
            <w:tcBorders>
              <w:top w:val="single" w:color="B0C4DE" w:sz="1"/>
              <w:left w:val="single" w:color="B0C4DE" w:sz="1"/>
              <w:bottom w:val="single" w:color="B0C4DE" w:sz="1"/>
              <w:right w:val="single" w:color="B0C4DE"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Level</w:t>
            </w:r>
          </w:p>
        </w:tc>
        <w:tc>
          <w:tcPr>
            <w:tcW w:type="dxa" w:w="1800"/>
            <w:tcBorders>
              <w:top w:val="single" w:color="B0C4DE" w:sz="1"/>
              <w:left w:val="single" w:color="B0C4DE" w:sz="1"/>
              <w:bottom w:val="single" w:color="B0C4DE" w:sz="1"/>
              <w:right w:val="single" w:color="B0C4DE"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Name</w:t>
            </w:r>
          </w:p>
        </w:tc>
        <w:tc>
          <w:tcPr>
            <w:tcW w:type="dxa" w:w="3600"/>
            <w:tcBorders>
              <w:top w:val="single" w:color="B0C4DE" w:sz="1"/>
              <w:left w:val="single" w:color="B0C4DE" w:sz="1"/>
              <w:bottom w:val="single" w:color="B0C4DE" w:sz="1"/>
              <w:right w:val="single" w:color="B0C4DE"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Defensibility Profile</w:t>
            </w:r>
          </w:p>
        </w:tc>
        <w:tc>
          <w:tcPr>
            <w:tcW w:type="dxa" w:w="3360"/>
            <w:tcBorders>
              <w:top w:val="single" w:color="B0C4DE" w:sz="1"/>
              <w:left w:val="single" w:color="B0C4DE" w:sz="1"/>
              <w:bottom w:val="single" w:color="B0C4DE" w:sz="1"/>
              <w:right w:val="single" w:color="B0C4DE" w:sz="1"/>
            </w:tcBorders>
            <w:shd w:fill="1B3A5C" w:val="clear"/>
            <w:tcMar>
              <w:top w:type="dxa" w:w="80"/>
              <w:left w:type="dxa" w:w="120"/>
              <w:bottom w:type="dxa" w:w="80"/>
              <w:right w:type="dxa" w:w="120"/>
            </w:tcMar>
            <w:vAlign w:val="center"/>
          </w:tcPr>
          <w:p>
            <w:r>
              <w:rPr>
                <w:rFonts w:ascii="Arial" w:cs="Arial" w:eastAsia="Arial" w:hAnsi="Arial"/>
                <w:b/>
                <w:bCs/>
                <w:color w:val="FFFFFF"/>
                <w:sz w:val="20"/>
                <w:szCs w:val="20"/>
              </w:rPr>
              <w:t xml:space="preserve">Example</w:t>
            </w:r>
          </w:p>
        </w:tc>
      </w:tr>
      <w:tr>
        <w:tc>
          <w:tcPr>
            <w:tcW w:type="dxa" w:w="600"/>
            <w:tcBorders>
              <w:top w:val="single" w:color="B0C4DE" w:sz="1"/>
              <w:left w:val="single" w:color="B0C4DE" w:sz="1"/>
              <w:bottom w:val="single" w:color="B0C4DE" w:sz="1"/>
              <w:right w:val="single" w:color="B0C4DE" w:sz="1"/>
            </w:tcBorders>
            <w:tcMar>
              <w:top w:type="dxa" w:w="80"/>
              <w:left w:type="dxa" w:w="120"/>
              <w:bottom w:type="dxa" w:w="80"/>
              <w:right w:type="dxa" w:w="120"/>
            </w:tcMar>
          </w:tcPr>
          <w:p>
            <w:r>
              <w:rPr>
                <w:rFonts w:ascii="Georgia" w:cs="Georgia" w:eastAsia="Georgia" w:hAnsi="Georgia"/>
                <w:sz w:val="20"/>
                <w:szCs w:val="20"/>
              </w:rPr>
              <w:t xml:space="preserve">1</w:t>
            </w:r>
          </w:p>
        </w:tc>
        <w:tc>
          <w:tcPr>
            <w:tcW w:type="dxa" w:w="1800"/>
            <w:tcBorders>
              <w:top w:val="single" w:color="B0C4DE" w:sz="1"/>
              <w:left w:val="single" w:color="B0C4DE" w:sz="1"/>
              <w:bottom w:val="single" w:color="B0C4DE" w:sz="1"/>
              <w:right w:val="single" w:color="B0C4DE" w:sz="1"/>
            </w:tcBorders>
            <w:tcMar>
              <w:top w:type="dxa" w:w="80"/>
              <w:left w:type="dxa" w:w="120"/>
              <w:bottom w:type="dxa" w:w="80"/>
              <w:right w:type="dxa" w:w="120"/>
            </w:tcMar>
          </w:tcPr>
          <w:p>
            <w:r>
              <w:rPr>
                <w:rFonts w:ascii="Georgia" w:cs="Georgia" w:eastAsia="Georgia" w:hAnsi="Georgia"/>
                <w:sz w:val="20"/>
                <w:szCs w:val="20"/>
              </w:rPr>
              <w:t xml:space="preserve">Foundation Model Access</w:t>
            </w:r>
          </w:p>
        </w:tc>
        <w:tc>
          <w:tcPr>
            <w:tcW w:type="dxa" w:w="3600"/>
            <w:tcBorders>
              <w:top w:val="single" w:color="B0C4DE" w:sz="1"/>
              <w:left w:val="single" w:color="B0C4DE" w:sz="1"/>
              <w:bottom w:val="single" w:color="B0C4DE" w:sz="1"/>
              <w:right w:val="single" w:color="B0C4DE" w:sz="1"/>
            </w:tcBorders>
            <w:tcMar>
              <w:top w:type="dxa" w:w="80"/>
              <w:left w:type="dxa" w:w="120"/>
              <w:bottom w:type="dxa" w:w="80"/>
              <w:right w:type="dxa" w:w="120"/>
            </w:tcMar>
          </w:tcPr>
          <w:p>
            <w:r>
              <w:rPr>
                <w:rFonts w:ascii="Georgia" w:cs="Georgia" w:eastAsia="Georgia" w:hAnsi="Georgia"/>
                <w:sz w:val="20"/>
                <w:szCs w:val="20"/>
              </w:rPr>
              <w:t xml:space="preserve">Low — Easily replicated; dependent on upstream provider pricing and capability</w:t>
            </w:r>
          </w:p>
        </w:tc>
        <w:tc>
          <w:tcPr>
            <w:tcW w:type="dxa" w:w="3360"/>
            <w:tcBorders>
              <w:top w:val="single" w:color="B0C4DE" w:sz="1"/>
              <w:left w:val="single" w:color="B0C4DE" w:sz="1"/>
              <w:bottom w:val="single" w:color="B0C4DE" w:sz="1"/>
              <w:right w:val="single" w:color="B0C4DE" w:sz="1"/>
            </w:tcBorders>
            <w:tcMar>
              <w:top w:type="dxa" w:w="80"/>
              <w:left w:type="dxa" w:w="120"/>
              <w:bottom w:type="dxa" w:w="80"/>
              <w:right w:type="dxa" w:w="120"/>
            </w:tcMar>
          </w:tcPr>
          <w:p>
            <w:r>
              <w:rPr>
                <w:rFonts w:ascii="Georgia" w:cs="Georgia" w:eastAsia="Georgia" w:hAnsi="Georgia"/>
                <w:sz w:val="20"/>
                <w:szCs w:val="20"/>
              </w:rPr>
              <w:t xml:space="preserve">Generic GPT wrapper for legal Q&amp;A</w:t>
            </w:r>
          </w:p>
        </w:tc>
      </w:tr>
      <w:tr>
        <w:tc>
          <w:tcPr>
            <w:tcW w:type="dxa" w:w="600"/>
            <w:tcBorders>
              <w:top w:val="single" w:color="B0C4DE" w:sz="1"/>
              <w:left w:val="single" w:color="B0C4DE" w:sz="1"/>
              <w:bottom w:val="single" w:color="B0C4DE" w:sz="1"/>
              <w:right w:val="single" w:color="B0C4DE" w:sz="1"/>
            </w:tcBorders>
            <w:tcMar>
              <w:top w:type="dxa" w:w="80"/>
              <w:left w:type="dxa" w:w="120"/>
              <w:bottom w:type="dxa" w:w="80"/>
              <w:right w:type="dxa" w:w="120"/>
            </w:tcMar>
          </w:tcPr>
          <w:p>
            <w:r>
              <w:rPr>
                <w:rFonts w:ascii="Georgia" w:cs="Georgia" w:eastAsia="Georgia" w:hAnsi="Georgia"/>
                <w:sz w:val="20"/>
                <w:szCs w:val="20"/>
              </w:rPr>
              <w:t xml:space="preserve">2</w:t>
            </w:r>
          </w:p>
        </w:tc>
        <w:tc>
          <w:tcPr>
            <w:tcW w:type="dxa" w:w="1800"/>
            <w:tcBorders>
              <w:top w:val="single" w:color="B0C4DE" w:sz="1"/>
              <w:left w:val="single" w:color="B0C4DE" w:sz="1"/>
              <w:bottom w:val="single" w:color="B0C4DE" w:sz="1"/>
              <w:right w:val="single" w:color="B0C4DE" w:sz="1"/>
            </w:tcBorders>
            <w:tcMar>
              <w:top w:type="dxa" w:w="80"/>
              <w:left w:type="dxa" w:w="120"/>
              <w:bottom w:type="dxa" w:w="80"/>
              <w:right w:type="dxa" w:w="120"/>
            </w:tcMar>
          </w:tcPr>
          <w:p>
            <w:r>
              <w:rPr>
                <w:rFonts w:ascii="Georgia" w:cs="Georgia" w:eastAsia="Georgia" w:hAnsi="Georgia"/>
                <w:sz w:val="20"/>
                <w:szCs w:val="20"/>
              </w:rPr>
              <w:t xml:space="preserve">Workflow Integration</w:t>
            </w:r>
          </w:p>
        </w:tc>
        <w:tc>
          <w:tcPr>
            <w:tcW w:type="dxa" w:w="3600"/>
            <w:tcBorders>
              <w:top w:val="single" w:color="B0C4DE" w:sz="1"/>
              <w:left w:val="single" w:color="B0C4DE" w:sz="1"/>
              <w:bottom w:val="single" w:color="B0C4DE" w:sz="1"/>
              <w:right w:val="single" w:color="B0C4DE" w:sz="1"/>
            </w:tcBorders>
            <w:tcMar>
              <w:top w:type="dxa" w:w="80"/>
              <w:left w:type="dxa" w:w="120"/>
              <w:bottom w:type="dxa" w:w="80"/>
              <w:right w:type="dxa" w:w="120"/>
            </w:tcMar>
          </w:tcPr>
          <w:p>
            <w:r>
              <w:rPr>
                <w:rFonts w:ascii="Georgia" w:cs="Georgia" w:eastAsia="Georgia" w:hAnsi="Georgia"/>
                <w:sz w:val="20"/>
                <w:szCs w:val="20"/>
              </w:rPr>
              <w:t xml:space="preserve">Moderate — Switching costs from deep CMS/PMS embedding create friction</w:t>
            </w:r>
          </w:p>
        </w:tc>
        <w:tc>
          <w:tcPr>
            <w:tcW w:type="dxa" w:w="3360"/>
            <w:tcBorders>
              <w:top w:val="single" w:color="B0C4DE" w:sz="1"/>
              <w:left w:val="single" w:color="B0C4DE" w:sz="1"/>
              <w:bottom w:val="single" w:color="B0C4DE" w:sz="1"/>
              <w:right w:val="single" w:color="B0C4DE" w:sz="1"/>
            </w:tcBorders>
            <w:tcMar>
              <w:top w:type="dxa" w:w="80"/>
              <w:left w:type="dxa" w:w="120"/>
              <w:bottom w:type="dxa" w:w="80"/>
              <w:right w:type="dxa" w:w="120"/>
            </w:tcMar>
          </w:tcPr>
          <w:p>
            <w:r>
              <w:rPr>
                <w:rFonts w:ascii="Georgia" w:cs="Georgia" w:eastAsia="Georgia" w:hAnsi="Georgia"/>
                <w:sz w:val="20"/>
                <w:szCs w:val="20"/>
              </w:rPr>
              <w:t xml:space="preserve">Clio Duo, CoCounsel (integrated into Westlaw)</w:t>
            </w:r>
          </w:p>
        </w:tc>
      </w:tr>
      <w:tr>
        <w:tc>
          <w:tcPr>
            <w:tcW w:type="dxa" w:w="600"/>
            <w:tcBorders>
              <w:top w:val="single" w:color="B0C4DE" w:sz="1"/>
              <w:left w:val="single" w:color="B0C4DE" w:sz="1"/>
              <w:bottom w:val="single" w:color="B0C4DE" w:sz="1"/>
              <w:right w:val="single" w:color="B0C4DE" w:sz="1"/>
            </w:tcBorders>
            <w:tcMar>
              <w:top w:type="dxa" w:w="80"/>
              <w:left w:type="dxa" w:w="120"/>
              <w:bottom w:type="dxa" w:w="80"/>
              <w:right w:type="dxa" w:w="120"/>
            </w:tcMar>
          </w:tcPr>
          <w:p>
            <w:r>
              <w:rPr>
                <w:rFonts w:ascii="Georgia" w:cs="Georgia" w:eastAsia="Georgia" w:hAnsi="Georgia"/>
                <w:sz w:val="20"/>
                <w:szCs w:val="20"/>
              </w:rPr>
              <w:t xml:space="preserve">3</w:t>
            </w:r>
          </w:p>
        </w:tc>
        <w:tc>
          <w:tcPr>
            <w:tcW w:type="dxa" w:w="1800"/>
            <w:tcBorders>
              <w:top w:val="single" w:color="B0C4DE" w:sz="1"/>
              <w:left w:val="single" w:color="B0C4DE" w:sz="1"/>
              <w:bottom w:val="single" w:color="B0C4DE" w:sz="1"/>
              <w:right w:val="single" w:color="B0C4DE" w:sz="1"/>
            </w:tcBorders>
            <w:tcMar>
              <w:top w:type="dxa" w:w="80"/>
              <w:left w:type="dxa" w:w="120"/>
              <w:bottom w:type="dxa" w:w="80"/>
              <w:right w:type="dxa" w:w="120"/>
            </w:tcMar>
          </w:tcPr>
          <w:p>
            <w:r>
              <w:rPr>
                <w:rFonts w:ascii="Georgia" w:cs="Georgia" w:eastAsia="Georgia" w:hAnsi="Georgia"/>
                <w:sz w:val="20"/>
                <w:szCs w:val="20"/>
              </w:rPr>
              <w:t xml:space="preserve">Proprietary Data Accumulation</w:t>
            </w:r>
          </w:p>
        </w:tc>
        <w:tc>
          <w:tcPr>
            <w:tcW w:type="dxa" w:w="3600"/>
            <w:tcBorders>
              <w:top w:val="single" w:color="B0C4DE" w:sz="1"/>
              <w:left w:val="single" w:color="B0C4DE" w:sz="1"/>
              <w:bottom w:val="single" w:color="B0C4DE" w:sz="1"/>
              <w:right w:val="single" w:color="B0C4DE" w:sz="1"/>
            </w:tcBorders>
            <w:tcMar>
              <w:top w:type="dxa" w:w="80"/>
              <w:left w:type="dxa" w:w="120"/>
              <w:bottom w:type="dxa" w:w="80"/>
              <w:right w:type="dxa" w:w="120"/>
            </w:tcMar>
          </w:tcPr>
          <w:p>
            <w:r>
              <w:rPr>
                <w:rFonts w:ascii="Georgia" w:cs="Georgia" w:eastAsia="Georgia" w:hAnsi="Georgia"/>
                <w:sz w:val="20"/>
                <w:szCs w:val="20"/>
              </w:rPr>
              <w:t xml:space="preserve">High — Usage generates unique datasets unavailable to competitors</w:t>
            </w:r>
          </w:p>
        </w:tc>
        <w:tc>
          <w:tcPr>
            <w:tcW w:type="dxa" w:w="3360"/>
            <w:tcBorders>
              <w:top w:val="single" w:color="B0C4DE" w:sz="1"/>
              <w:left w:val="single" w:color="B0C4DE" w:sz="1"/>
              <w:bottom w:val="single" w:color="B0C4DE" w:sz="1"/>
              <w:right w:val="single" w:color="B0C4DE" w:sz="1"/>
            </w:tcBorders>
            <w:tcMar>
              <w:top w:type="dxa" w:w="80"/>
              <w:left w:type="dxa" w:w="120"/>
              <w:bottom w:type="dxa" w:w="80"/>
              <w:right w:type="dxa" w:w="120"/>
            </w:tcMar>
          </w:tcPr>
          <w:p>
            <w:r>
              <w:rPr>
                <w:rFonts w:ascii="Georgia" w:cs="Georgia" w:eastAsia="Georgia" w:hAnsi="Georgia"/>
                <w:sz w:val="20"/>
                <w:szCs w:val="20"/>
              </w:rPr>
              <w:t xml:space="preserve">Eve Legal (plaintiff case outcome data)</w:t>
            </w:r>
          </w:p>
        </w:tc>
      </w:tr>
      <w:tr>
        <w:tc>
          <w:tcPr>
            <w:tcW w:type="dxa" w:w="600"/>
            <w:tcBorders>
              <w:top w:val="single" w:color="B0C4DE" w:sz="1"/>
              <w:left w:val="single" w:color="B0C4DE" w:sz="1"/>
              <w:bottom w:val="single" w:color="B0C4DE" w:sz="1"/>
              <w:right w:val="single" w:color="B0C4DE" w:sz="1"/>
            </w:tcBorders>
            <w:tcMar>
              <w:top w:type="dxa" w:w="80"/>
              <w:left w:type="dxa" w:w="120"/>
              <w:bottom w:type="dxa" w:w="80"/>
              <w:right w:type="dxa" w:w="120"/>
            </w:tcMar>
          </w:tcPr>
          <w:p>
            <w:r>
              <w:rPr>
                <w:rFonts w:ascii="Georgia" w:cs="Georgia" w:eastAsia="Georgia" w:hAnsi="Georgia"/>
                <w:sz w:val="20"/>
                <w:szCs w:val="20"/>
              </w:rPr>
              <w:t xml:space="preserve">4</w:t>
            </w:r>
          </w:p>
        </w:tc>
        <w:tc>
          <w:tcPr>
            <w:tcW w:type="dxa" w:w="1800"/>
            <w:tcBorders>
              <w:top w:val="single" w:color="B0C4DE" w:sz="1"/>
              <w:left w:val="single" w:color="B0C4DE" w:sz="1"/>
              <w:bottom w:val="single" w:color="B0C4DE" w:sz="1"/>
              <w:right w:val="single" w:color="B0C4DE" w:sz="1"/>
            </w:tcBorders>
            <w:tcMar>
              <w:top w:type="dxa" w:w="80"/>
              <w:left w:type="dxa" w:w="120"/>
              <w:bottom w:type="dxa" w:w="80"/>
              <w:right w:type="dxa" w:w="120"/>
            </w:tcMar>
          </w:tcPr>
          <w:p>
            <w:r>
              <w:rPr>
                <w:rFonts w:ascii="Georgia" w:cs="Georgia" w:eastAsia="Georgia" w:hAnsi="Georgia"/>
                <w:sz w:val="20"/>
                <w:szCs w:val="20"/>
              </w:rPr>
              <w:t xml:space="preserve">Outcome Intelligence</w:t>
            </w:r>
          </w:p>
        </w:tc>
        <w:tc>
          <w:tcPr>
            <w:tcW w:type="dxa" w:w="3600"/>
            <w:tcBorders>
              <w:top w:val="single" w:color="B0C4DE" w:sz="1"/>
              <w:left w:val="single" w:color="B0C4DE" w:sz="1"/>
              <w:bottom w:val="single" w:color="B0C4DE" w:sz="1"/>
              <w:right w:val="single" w:color="B0C4DE" w:sz="1"/>
            </w:tcBorders>
            <w:tcMar>
              <w:top w:type="dxa" w:w="80"/>
              <w:left w:type="dxa" w:w="120"/>
              <w:bottom w:type="dxa" w:w="80"/>
              <w:right w:type="dxa" w:w="120"/>
            </w:tcMar>
          </w:tcPr>
          <w:p>
            <w:r>
              <w:rPr>
                <w:rFonts w:ascii="Georgia" w:cs="Georgia" w:eastAsia="Georgia" w:hAnsi="Georgia"/>
                <w:sz w:val="20"/>
                <w:szCs w:val="20"/>
              </w:rPr>
              <w:t xml:space="preserve">Very High — Predictive models trained on proprietary outcome data compound with scale</w:t>
            </w:r>
          </w:p>
        </w:tc>
        <w:tc>
          <w:tcPr>
            <w:tcW w:type="dxa" w:w="3360"/>
            <w:tcBorders>
              <w:top w:val="single" w:color="B0C4DE" w:sz="1"/>
              <w:left w:val="single" w:color="B0C4DE" w:sz="1"/>
              <w:bottom w:val="single" w:color="B0C4DE" w:sz="1"/>
              <w:right w:val="single" w:color="B0C4DE" w:sz="1"/>
            </w:tcBorders>
            <w:tcMar>
              <w:top w:type="dxa" w:w="80"/>
              <w:left w:type="dxa" w:w="120"/>
              <w:bottom w:type="dxa" w:w="80"/>
              <w:right w:type="dxa" w:w="120"/>
            </w:tcMar>
          </w:tcPr>
          <w:p>
            <w:r>
              <w:rPr>
                <w:rFonts w:ascii="Georgia" w:cs="Georgia" w:eastAsia="Georgia" w:hAnsi="Georgia"/>
                <w:sz w:val="20"/>
                <w:szCs w:val="20"/>
              </w:rPr>
              <w:t xml:space="preserve">Eve Legal case evaluation engine; Harvey institutional knowledge</w:t>
            </w:r>
          </w:p>
        </w:tc>
      </w:tr>
      <w:tr>
        <w:tc>
          <w:tcPr>
            <w:tcW w:type="dxa" w:w="600"/>
            <w:tcBorders>
              <w:top w:val="single" w:color="B0C4DE" w:sz="1"/>
              <w:left w:val="single" w:color="B0C4DE" w:sz="1"/>
              <w:bottom w:val="single" w:color="B0C4DE" w:sz="1"/>
              <w:right w:val="single" w:color="B0C4DE" w:sz="1"/>
            </w:tcBorders>
            <w:tcMar>
              <w:top w:type="dxa" w:w="80"/>
              <w:left w:type="dxa" w:w="120"/>
              <w:bottom w:type="dxa" w:w="80"/>
              <w:right w:type="dxa" w:w="120"/>
            </w:tcMar>
          </w:tcPr>
          <w:p>
            <w:r>
              <w:rPr>
                <w:rFonts w:ascii="Georgia" w:cs="Georgia" w:eastAsia="Georgia" w:hAnsi="Georgia"/>
                <w:sz w:val="20"/>
                <w:szCs w:val="20"/>
              </w:rPr>
              <w:t xml:space="preserve">5</w:t>
            </w:r>
          </w:p>
        </w:tc>
        <w:tc>
          <w:tcPr>
            <w:tcW w:type="dxa" w:w="1800"/>
            <w:tcBorders>
              <w:top w:val="single" w:color="B0C4DE" w:sz="1"/>
              <w:left w:val="single" w:color="B0C4DE" w:sz="1"/>
              <w:bottom w:val="single" w:color="B0C4DE" w:sz="1"/>
              <w:right w:val="single" w:color="B0C4DE" w:sz="1"/>
            </w:tcBorders>
            <w:tcMar>
              <w:top w:type="dxa" w:w="80"/>
              <w:left w:type="dxa" w:w="120"/>
              <w:bottom w:type="dxa" w:w="80"/>
              <w:right w:type="dxa" w:w="120"/>
            </w:tcMar>
          </w:tcPr>
          <w:p>
            <w:r>
              <w:rPr>
                <w:rFonts w:ascii="Georgia" w:cs="Georgia" w:eastAsia="Georgia" w:hAnsi="Georgia"/>
                <w:sz w:val="20"/>
                <w:szCs w:val="20"/>
              </w:rPr>
              <w:t xml:space="preserve">Regulatory-Ethical Moats</w:t>
            </w:r>
          </w:p>
        </w:tc>
        <w:tc>
          <w:tcPr>
            <w:tcW w:type="dxa" w:w="3600"/>
            <w:tcBorders>
              <w:top w:val="single" w:color="B0C4DE" w:sz="1"/>
              <w:left w:val="single" w:color="B0C4DE" w:sz="1"/>
              <w:bottom w:val="single" w:color="B0C4DE" w:sz="1"/>
              <w:right w:val="single" w:color="B0C4DE" w:sz="1"/>
            </w:tcBorders>
            <w:tcMar>
              <w:top w:type="dxa" w:w="80"/>
              <w:left w:type="dxa" w:w="120"/>
              <w:bottom w:type="dxa" w:w="80"/>
              <w:right w:type="dxa" w:w="120"/>
            </w:tcMar>
          </w:tcPr>
          <w:p>
            <w:r>
              <w:rPr>
                <w:rFonts w:ascii="Georgia" w:cs="Georgia" w:eastAsia="Georgia" w:hAnsi="Georgia"/>
                <w:sz w:val="20"/>
                <w:szCs w:val="20"/>
              </w:rPr>
              <w:t xml:space="preserve">Highest — Compliance frameworks, trust certifications, and bar-approved governance create institutional lock-in</w:t>
            </w:r>
          </w:p>
        </w:tc>
        <w:tc>
          <w:tcPr>
            <w:tcW w:type="dxa" w:w="3360"/>
            <w:tcBorders>
              <w:top w:val="single" w:color="B0C4DE" w:sz="1"/>
              <w:left w:val="single" w:color="B0C4DE" w:sz="1"/>
              <w:bottom w:val="single" w:color="B0C4DE" w:sz="1"/>
              <w:right w:val="single" w:color="B0C4DE" w:sz="1"/>
            </w:tcBorders>
            <w:tcMar>
              <w:top w:type="dxa" w:w="80"/>
              <w:left w:type="dxa" w:w="120"/>
              <w:bottom w:type="dxa" w:w="80"/>
              <w:right w:type="dxa" w:w="120"/>
            </w:tcMar>
          </w:tcPr>
          <w:p>
            <w:r>
              <w:rPr>
                <w:rFonts w:ascii="Georgia" w:cs="Georgia" w:eastAsia="Georgia" w:hAnsi="Georgia"/>
                <w:sz w:val="20"/>
                <w:szCs w:val="20"/>
              </w:rPr>
              <w:t xml:space="preserve">COUNSEL/G3M governance frameworks; bar-certified AI audit systems</w:t>
            </w:r>
          </w:p>
        </w:tc>
      </w:tr>
    </w:tbl>
    <w:p>
      <w:pPr>
        <w:spacing w:after="100"/>
        <w:jc w:val="center"/>
      </w:pPr>
      <w:r>
        <w:rPr>
          <w:rFonts w:ascii="Arial" w:cs="Arial" w:eastAsia="Arial" w:hAnsi="Arial"/>
          <w:i/>
          <w:iCs/>
          <w:color w:val="666666"/>
          <w:sz w:val="18"/>
          <w:szCs w:val="18"/>
        </w:rPr>
        <w:t xml:space="preserve">Table 1. The Legal AI Value Stack — Five Levels of Defensibility</w:t>
      </w:r>
    </w:p>
    <w:p>
      <w:pPr>
        <w:pStyle w:val="Heading2"/>
      </w:pPr>
      <w:r>
        <w:rPr>
          <w:rFonts w:ascii="Arial" w:cs="Arial" w:eastAsia="Arial" w:hAnsi="Arial"/>
        </w:rPr>
        <w:t xml:space="preserve">2.1. Level 1: Foundation Model Access</w:t>
      </w:r>
    </w:p>
    <w:p>
      <w:pPr>
        <w:spacing w:after="200" w:line="276"/>
        <w:jc w:val="both"/>
      </w:pPr>
      <w:r>
        <w:rPr>
          <w:rFonts w:ascii="Georgia" w:cs="Georgia" w:eastAsia="Georgia" w:hAnsi="Georgia"/>
          <w:sz w:val="24"/>
          <w:szCs w:val="24"/>
        </w:rPr>
        <w:t xml:space="preserve">At the base of the stack sit companies whose primary value proposition is providing attorneys with access to large language model capabilities through a legal-specific interface. These products typically consist of a user interface wrapped around API calls to commercial models—GPT-4, Claude, Gemini—with legal-specific prompting, citation formatting, or jurisdiction-aware instructions layered on top.</w:t>
      </w:r>
    </w:p>
    <w:p>
      <w:pPr>
        <w:spacing w:after="200" w:line="276"/>
        <w:jc w:val="both"/>
      </w:pPr>
      <w:r>
        <w:rPr>
          <w:rFonts w:ascii="Georgia" w:cs="Georgia" w:eastAsia="Georgia" w:hAnsi="Georgia"/>
          <w:sz w:val="24"/>
          <w:szCs w:val="24"/>
        </w:rPr>
        <w:t xml:space="preserve">The economic challenge at this level is severe. Foundation model providers engage in aggressive price competition: API costs have fallen by roughly an order of magnitude over the past eighteen months, and each new model generation delivers substantially more capability per dollar. A company whose competitive advantage resides primarily in prompt engineering and UI design faces a relentless treadmill. Every improvement to the underlying model narrows the gap between the specialized product and a general-purpose chatbot. As one commentator has observed, asking a company to switch its foundation model provider within thirty days is a revealing test: if the company cannot do so, its defensibility thesis rests on the wrong layer of the stack; if it can, its differentiation may be thinner than it appears.</w:t>
      </w:r>
    </w:p>
    <w:p>
      <w:pPr>
        <w:spacing w:after="200" w:line="276"/>
        <w:jc w:val="both"/>
      </w:pPr>
      <w:r>
        <w:rPr>
          <w:rFonts w:ascii="Georgia" w:cs="Georgia" w:eastAsia="Georgia" w:hAnsi="Georgia"/>
          <w:sz w:val="24"/>
          <w:szCs w:val="24"/>
        </w:rPr>
        <w:t xml:space="preserve">Level 1 is necessary but insufficient. Every legal AI company must solve the model-access problem, but no company should expect to build a durable business on model access alone.</w:t>
      </w:r>
    </w:p>
    <w:p>
      <w:pPr>
        <w:pStyle w:val="Heading2"/>
      </w:pPr>
      <w:r>
        <w:rPr>
          <w:rFonts w:ascii="Arial" w:cs="Arial" w:eastAsia="Arial" w:hAnsi="Arial"/>
        </w:rPr>
        <w:t xml:space="preserve">2.2. Level 2: Workflow Integration</w:t>
      </w:r>
    </w:p>
    <w:p>
      <w:pPr>
        <w:spacing w:after="200" w:line="276"/>
        <w:jc w:val="both"/>
      </w:pPr>
      <w:r>
        <w:rPr>
          <w:rFonts w:ascii="Georgia" w:cs="Georgia" w:eastAsia="Georgia" w:hAnsi="Georgia"/>
          <w:sz w:val="24"/>
          <w:szCs w:val="24"/>
        </w:rPr>
        <w:t xml:space="preserve">The second level of the stack represents a meaningful increase in defensibility. Companies operating at Level 2 have embedded their AI capabilities into the daily operational workflows of law firms and legal departments. Rather than functioning as standalone tools to which attorneys must context-switch, these products become indistinguishable from the practice management software, document management systems, and case management platforms that attorneys already inhabit.</w:t>
      </w:r>
    </w:p>
    <w:p>
      <w:pPr>
        <w:spacing w:after="200" w:line="276"/>
        <w:jc w:val="both"/>
      </w:pPr>
      <w:r>
        <w:rPr>
          <w:rFonts w:ascii="Georgia" w:cs="Georgia" w:eastAsia="Georgia" w:hAnsi="Georgia"/>
          <w:sz w:val="24"/>
          <w:szCs w:val="24"/>
        </w:rPr>
        <w:t xml:space="preserve">Thomson Reuters' integration of CoCounsel into the Westlaw research environment exemplifies this strategy. An attorney conducting research in Westlaw encounters AI-assisted analysis as a seamless extension of a platform they already use daily. The switching cost is not the AI capability itself—another research tool could provide comparable outputs—but the disruption of migrating an entire research workflow to a new platform. Clio's deployment of AI features within its practice management suite creates similar dynamics: the AI is valuable, but the practice management data, billing integrations, and client communication workflows create the actual lock-in.</w:t>
      </w:r>
    </w:p>
    <w:p>
      <w:pPr>
        <w:spacing w:after="200" w:line="276"/>
        <w:jc w:val="both"/>
      </w:pPr>
      <w:r>
        <w:rPr>
          <w:rFonts w:ascii="Georgia" w:cs="Georgia" w:eastAsia="Georgia" w:hAnsi="Georgia"/>
          <w:sz w:val="24"/>
          <w:szCs w:val="24"/>
        </w:rPr>
        <w:t xml:space="preserve">For Ohio practitioners, this level carries particular significance. The state's domestic relations courts, municipal courts, and common pleas courts each maintain distinct procedural requirements, local rules, and filing conventions. An AI tool that understands not merely Ohio Revised Code but the specific formatting expectations of the Lorain County Domestic Relations Division, or the electronic filing requirements of the Erie County Common Pleas Court, creates integration depth that a generalist AI cannot easily replicate.</w:t>
      </w:r>
    </w:p>
    <w:p>
      <w:pPr>
        <w:spacing w:after="200" w:line="276"/>
        <w:jc w:val="both"/>
      </w:pPr>
      <w:r>
        <w:rPr>
          <w:rFonts w:ascii="Georgia" w:cs="Georgia" w:eastAsia="Georgia" w:hAnsi="Georgia"/>
          <w:sz w:val="24"/>
          <w:szCs w:val="24"/>
        </w:rPr>
        <w:t xml:space="preserve">The limitation of Level 2 is that workflow integration, while creating meaningful switching costs, does not generate compounding advantages. A competitor with sufficient development resources can eventually replicate any specific integration. Deep embedding slows competitive displacement; it does not prevent it.</w:t>
      </w:r>
    </w:p>
    <w:p>
      <w:pPr>
        <w:pStyle w:val="Heading2"/>
      </w:pPr>
      <w:r>
        <w:rPr>
          <w:rFonts w:ascii="Arial" w:cs="Arial" w:eastAsia="Arial" w:hAnsi="Arial"/>
        </w:rPr>
        <w:t xml:space="preserve">2.3. Level 3: Proprietary Data Accumulation</w:t>
      </w:r>
    </w:p>
    <w:p>
      <w:pPr>
        <w:spacing w:after="200" w:line="276"/>
        <w:jc w:val="both"/>
      </w:pPr>
      <w:r>
        <w:rPr>
          <w:rFonts w:ascii="Georgia" w:cs="Georgia" w:eastAsia="Georgia" w:hAnsi="Georgia"/>
          <w:sz w:val="24"/>
          <w:szCs w:val="24"/>
        </w:rPr>
        <w:t xml:space="preserve">Level 3 marks the transition from defensive positioning to offensive advantage. Companies operating at this level generate proprietary datasets through the normal course of product usage—datasets that are unavailable to competitors and that become more valuable with each additional user interaction.</w:t>
      </w:r>
    </w:p>
    <w:p>
      <w:pPr>
        <w:spacing w:after="200" w:line="276"/>
        <w:jc w:val="both"/>
      </w:pPr>
      <w:r>
        <w:rPr>
          <w:rFonts w:ascii="Georgia" w:cs="Georgia" w:eastAsia="Georgia" w:hAnsi="Georgia"/>
          <w:sz w:val="24"/>
          <w:szCs w:val="24"/>
        </w:rPr>
        <w:t xml:space="preserve">The case of Eve Legal, a plaintiff-side legal AI platform that recently achieved a one-billion-dollar valuation, illustrates this dynamic with unusual clarity. Eve processes over two hundred thousand legal cases annually across more than four hundred and fifty law firm clients, with one hundred percent of cases at client firms flowing through the platform. This comprehensive workflow coverage generates a dataset of extraordinary value: case characteristics paired with actual outcomes across personal injury, employment, and other plaintiff-side practice areas.</w:t>
      </w:r>
    </w:p>
    <w:p>
      <w:pPr>
        <w:spacing w:after="200" w:line="276"/>
        <w:jc w:val="both"/>
      </w:pPr>
      <w:r>
        <w:rPr>
          <w:rFonts w:ascii="Georgia" w:cs="Georgia" w:eastAsia="Georgia" w:hAnsi="Georgia"/>
          <w:sz w:val="24"/>
          <w:szCs w:val="24"/>
        </w:rPr>
        <w:t xml:space="preserve">This data is structurally proprietary. Foundation model providers cannot access it through web scraping or public data collection. Competitors cannot replicate it without achieving comparable market penetration. And critically, the dataset grows more valuable with each case processed—creating the compounding data flywheel that distinguishes Level 3 companies from those operating below them.</w:t>
      </w:r>
    </w:p>
    <w:p>
      <w:pPr>
        <w:spacing w:after="200" w:line="276"/>
        <w:jc w:val="both"/>
      </w:pPr>
      <w:r>
        <w:rPr>
          <w:rFonts w:ascii="Georgia" w:cs="Georgia" w:eastAsia="Georgia" w:hAnsi="Georgia"/>
          <w:sz w:val="24"/>
          <w:szCs w:val="24"/>
        </w:rPr>
        <w:t xml:space="preserve">The data flywheel operates through a self-reinforcing cycle: more cases generate more outcome data; more outcome data enables better case evaluation models; better case evaluation attracts more attorneys to the platform; more attorneys bring more cases. Each rotation of the flywheel widens the competitive gap.</w:t>
      </w:r>
    </w:p>
    <w:p>
      <w:pPr>
        <w:spacing w:after="200" w:line="276"/>
        <w:jc w:val="both"/>
      </w:pPr>
      <w:r>
        <w:rPr>
          <w:rFonts w:ascii="Georgia" w:cs="Georgia" w:eastAsia="Georgia" w:hAnsi="Georgia"/>
          <w:sz w:val="24"/>
          <w:szCs w:val="24"/>
        </w:rPr>
        <w:t xml:space="preserve">For legal technology companies targeting Ohio family law—a domain characterized by jurisdiction-specific asset division formulas, locally variable spousal support guidelines, and county-by-county judicial tendencies—Level 3 represents a particularly potent strategic position. A platform that accumulates anonymized outcome data across hundreds of Lorain, Cuyahoga, and Erie County domestic relations cases can develop predictive capabilities that no amount of prompt engineering or workflow integration can replicate.</w:t>
      </w:r>
    </w:p>
    <w:p>
      <w:pPr>
        <w:pStyle w:val="Heading2"/>
      </w:pPr>
      <w:r>
        <w:rPr>
          <w:rFonts w:ascii="Arial" w:cs="Arial" w:eastAsia="Arial" w:hAnsi="Arial"/>
        </w:rPr>
        <w:t xml:space="preserve">2.4. Level 4: Outcome Intelligence</w:t>
      </w:r>
    </w:p>
    <w:p>
      <w:pPr>
        <w:spacing w:after="200" w:line="276"/>
        <w:jc w:val="both"/>
      </w:pPr>
      <w:r>
        <w:rPr>
          <w:rFonts w:ascii="Georgia" w:cs="Georgia" w:eastAsia="Georgia" w:hAnsi="Georgia"/>
          <w:sz w:val="24"/>
          <w:szCs w:val="24"/>
        </w:rPr>
        <w:t xml:space="preserve">Level 4 represents the conversion of accumulated proprietary data into predictive intelligence that fundamentally alters the economic calculus of legal practice. Where Level 3 companies collect data, Level 4 companies deploy that data to generate insights that create new forms of economic value.</w:t>
      </w:r>
    </w:p>
    <w:p>
      <w:pPr>
        <w:spacing w:after="200" w:line="276"/>
        <w:jc w:val="both"/>
      </w:pPr>
      <w:r>
        <w:rPr>
          <w:rFonts w:ascii="Georgia" w:cs="Georgia" w:eastAsia="Georgia" w:hAnsi="Georgia"/>
          <w:sz w:val="24"/>
          <w:szCs w:val="24"/>
        </w:rPr>
        <w:t xml:space="preserve">Returning to the Eve Legal example: the company's case evaluation engine does not merely organize medical records or draft demand letters more efficiently—it tells attorneys which cases are worth pursuing and what settlement ranges are realistic given the specific factual characteristics presented. Before Eve, a plaintiff attorney might decline cases below a fifty-thousand-dollar expected value because the overhead of evaluation and preparation made smaller cases unprofitable. With Eve's AI compressing twenty hours of preparatory work into two, that same attorney can profitably serve clients with five-thousand-dollar cases—expanding the addressable market rather than merely optimizing the existing one.</w:t>
      </w:r>
    </w:p>
    <w:p>
      <w:pPr>
        <w:spacing w:after="200" w:line="276"/>
        <w:jc w:val="both"/>
      </w:pPr>
      <w:r>
        <w:rPr>
          <w:rFonts w:ascii="Georgia" w:cs="Georgia" w:eastAsia="Georgia" w:hAnsi="Georgia"/>
          <w:sz w:val="24"/>
          <w:szCs w:val="24"/>
        </w:rPr>
        <w:t xml:space="preserve">This is the distinction between a tool and infrastructure. A tool helps attorneys do existing work faster. Infrastructure expands what work is economically possible. The attorneys using Eve's platform are not simply more efficient—they are serving a market segment that did not previously exist in economic terms.</w:t>
      </w:r>
    </w:p>
    <w:p>
      <w:pPr>
        <w:spacing w:after="200" w:line="276"/>
        <w:jc w:val="both"/>
      </w:pPr>
      <w:r>
        <w:rPr>
          <w:rFonts w:ascii="Georgia" w:cs="Georgia" w:eastAsia="Georgia" w:hAnsi="Georgia"/>
          <w:sz w:val="24"/>
          <w:szCs w:val="24"/>
        </w:rPr>
        <w:t xml:space="preserve">The outcome intelligence layer creates a defensibility profile that is qualitatively different from anything below it. A competitor can replicate a user interface, reverse-engineer a workflow integration, or even assemble a comparable raw dataset given enough time and market penetration. But outcome intelligence requires not only the data but the accumulated model training, validation, and refinement that transforms raw case data into reliable predictive signals. This temporal dimension—the irreducible time required to develop and validate predictive models—creates what one analyst has described as a moat measured in time multiplied by reinforcement learning signal quality.</w:t>
      </w:r>
    </w:p>
    <w:p>
      <w:pPr>
        <w:pStyle w:val="Heading2"/>
      </w:pPr>
      <w:r>
        <w:rPr>
          <w:rFonts w:ascii="Arial" w:cs="Arial" w:eastAsia="Arial" w:hAnsi="Arial"/>
        </w:rPr>
        <w:t xml:space="preserve">2.5. Level 5: Regulatory-Ethical Moats</w:t>
      </w:r>
    </w:p>
    <w:p>
      <w:pPr>
        <w:spacing w:after="200" w:line="276"/>
        <w:jc w:val="both"/>
      </w:pPr>
      <w:r>
        <w:rPr>
          <w:rFonts w:ascii="Georgia" w:cs="Georgia" w:eastAsia="Georgia" w:hAnsi="Georgia"/>
          <w:sz w:val="24"/>
          <w:szCs w:val="24"/>
        </w:rPr>
        <w:t xml:space="preserve">The highest level of the Legal AI Value Stack exploits a feature unique to the legal profession: the dense regulatory environment governing the practice of law. Unlike technology, finance, or healthcare—where regulatory requirements are imposed externally by government agencies—the legal profession is self-regulating, with state bar associations exercising direct authority over the tools, methods, and standards that attorneys may employ. This self-regulatory structure creates an opportunity for legal AI companies to build moats that are essentially impossible for generalist AI companies to replicate.</w:t>
      </w:r>
    </w:p>
    <w:p>
      <w:pPr>
        <w:spacing w:after="200" w:line="276"/>
        <w:jc w:val="both"/>
      </w:pPr>
      <w:r>
        <w:rPr>
          <w:rFonts w:ascii="Georgia" w:cs="Georgia" w:eastAsia="Georgia" w:hAnsi="Georgia"/>
          <w:sz w:val="24"/>
          <w:szCs w:val="24"/>
        </w:rPr>
        <w:t xml:space="preserve">The American Bar Association's Model Rules of Professional Conduct impose specific obligations on attorneys regarding competence (Rule 1.1), confidentiality (Rule 1.6), and supervisory responsibilities (Rules 5.1 through 5.3) that apply directly to the use of AI tools in legal practice. Ohio's Rules of Professional Conduct mirror these requirements with state-specific modifications. An AI platform that can demonstrate verifiable compliance with these obligations—through documented audit trails, explainable outputs, certified data handling procedures, and governance frameworks mapped to specific rule requirements—creates a regulatory moat that no amount of technical capability can circumvent.</w:t>
      </w:r>
    </w:p>
    <w:p>
      <w:pPr>
        <w:spacing w:after="200" w:line="276"/>
        <w:jc w:val="both"/>
      </w:pPr>
      <w:r>
        <w:rPr>
          <w:rFonts w:ascii="Georgia" w:cs="Georgia" w:eastAsia="Georgia" w:hAnsi="Georgia"/>
          <w:sz w:val="24"/>
          <w:szCs w:val="24"/>
        </w:rPr>
        <w:t xml:space="preserve">This level represents the convergence of technology and institutional trust. A bar association that certifies a specific AI platform as compliant with professional conduct obligations creates an institutional endorsement that competitors must independently earn. Enterprise law firms and corporate legal departments, which face their own compliance and risk management requirements, will increasingly require such certifications as a condition of AI adoption. The legal AI companies that invest in building verifiable governance frameworks—mapping AI operational checkpoints to specific ABA Model Rules, operationalizing the NIST AI Risk Management Framework for legal contexts, maintaining cryptographic audit trails for every AI-generated output—will occupy a competitive position that is structurally reinforced by the very regulatory apparatus that governs the profession.</w:t>
      </w:r>
    </w:p>
    <w:p>
      <w:pPr>
        <w:pStyle w:val="Heading1"/>
      </w:pPr>
      <w:r>
        <w:rPr>
          <w:rFonts w:ascii="Arial" w:cs="Arial" w:eastAsia="Arial" w:hAnsi="Arial"/>
        </w:rPr>
        <w:t xml:space="preserve">3. Economic Dynamics Across the Stack</w:t>
      </w:r>
    </w:p>
    <w:p>
      <w:pPr>
        <w:pStyle w:val="Heading2"/>
      </w:pPr>
      <w:r>
        <w:rPr>
          <w:rFonts w:ascii="Arial" w:cs="Arial" w:eastAsia="Arial" w:hAnsi="Arial"/>
        </w:rPr>
        <w:t xml:space="preserve">3.1. The Differentiation-Defensibility Distinction</w:t>
      </w:r>
    </w:p>
    <w:p>
      <w:pPr>
        <w:spacing w:after="200" w:line="276"/>
        <w:jc w:val="both"/>
      </w:pPr>
      <w:r>
        <w:rPr>
          <w:rFonts w:ascii="Georgia" w:cs="Georgia" w:eastAsia="Georgia" w:hAnsi="Georgia"/>
          <w:sz w:val="24"/>
          <w:szCs w:val="24"/>
        </w:rPr>
        <w:t xml:space="preserve">The most consequential analytical error in legal AI evaluation is the conflation of differentiation with defensibility. Differentiation is what makes a product better than alternatives today: superior natural language understanding, more accurate citation, faster document generation. Defensibility is what makes a product resistant to displacement tomorrow: proprietary data assets, embedded workflows, regulatory certifications, and compounding network effects.</w:t>
      </w:r>
    </w:p>
    <w:p>
      <w:pPr>
        <w:spacing w:after="200" w:line="276"/>
        <w:jc w:val="both"/>
      </w:pPr>
      <w:r>
        <w:rPr>
          <w:rFonts w:ascii="Georgia" w:cs="Georgia" w:eastAsia="Georgia" w:hAnsi="Georgia"/>
          <w:sz w:val="24"/>
          <w:szCs w:val="24"/>
        </w:rPr>
        <w:t xml:space="preserve">Most legal AI companies are currently differentiated. Very few are defensible. The distinction matters enormously for long-term value creation. A company with strong differentiation but weak defensibility will enjoy initial market traction followed by margin compression as competitors replicate its features. A company with strong defensibility—even if its initial differentiation is modest—will compound its advantages over time as usage deepens its data assets, workflow integration, and institutional trust.</w:t>
      </w:r>
    </w:p>
    <w:p>
      <w:pPr>
        <w:pStyle w:val="Heading2"/>
      </w:pPr>
      <w:r>
        <w:rPr>
          <w:rFonts w:ascii="Arial" w:cs="Arial" w:eastAsia="Arial" w:hAnsi="Arial"/>
        </w:rPr>
        <w:t xml:space="preserve">3.2. The Toll Booth vs. Cult Dynamic</w:t>
      </w:r>
    </w:p>
    <w:p>
      <w:pPr>
        <w:spacing w:after="200" w:line="276"/>
        <w:jc w:val="both"/>
      </w:pPr>
      <w:r>
        <w:rPr>
          <w:rFonts w:ascii="Georgia" w:cs="Georgia" w:eastAsia="Georgia" w:hAnsi="Georgia"/>
          <w:sz w:val="24"/>
          <w:szCs w:val="24"/>
        </w:rPr>
        <w:t xml:space="preserve">An instructive contrast emerges between two models of legal AI adoption. On one hand, certain platforms have created fervent user enthusiasm—what might be characterized as cult-like adoption—where attorneys express strong emotional attachment to the tool and would be upset if access were revoked. Harvey's penetration of BigLaw demonstrates this pattern: associates reportedly celebrated when access was expanded to their level, and surveys indicated universal dissatisfaction at the prospect of losing the tool.</w:t>
      </w:r>
    </w:p>
    <w:p>
      <w:pPr>
        <w:spacing w:after="200" w:line="276"/>
        <w:jc w:val="both"/>
      </w:pPr>
      <w:r>
        <w:rPr>
          <w:rFonts w:ascii="Georgia" w:cs="Georgia" w:eastAsia="Georgia" w:hAnsi="Georgia"/>
          <w:sz w:val="24"/>
          <w:szCs w:val="24"/>
        </w:rPr>
        <w:t xml:space="preserve">On the other hand, platforms like Eve Legal have built what amounts to a toll booth: a piece of infrastructure so deeply embedded in the economic logic of practice that attorneys cannot afford to operate without it. The distinction is not trivial. Cult dynamics depend on continued perceived superiority of the tool—a position that is inherently vulnerable to the next impressive demo from a competitor. Toll booth dynamics depend on structural economic dependence—a position that is reinforced every time the attorney relies on the platform to make a case-selection decision or generate a settlement valuation.</w:t>
      </w:r>
    </w:p>
    <w:p>
      <w:pPr>
        <w:spacing w:after="200" w:line="276"/>
        <w:jc w:val="both"/>
      </w:pPr>
      <w:r>
        <w:rPr>
          <w:rFonts w:ascii="Georgia" w:cs="Georgia" w:eastAsia="Georgia" w:hAnsi="Georgia"/>
          <w:sz w:val="24"/>
          <w:szCs w:val="24"/>
        </w:rPr>
        <w:t xml:space="preserve">The toll booth model corresponds to Levels 3 through 5 of the Value Stack. The cult model, while valuable, operates primarily at Levels 1 and 2.</w:t>
      </w:r>
    </w:p>
    <w:p>
      <w:pPr>
        <w:pStyle w:val="Heading2"/>
      </w:pPr>
      <w:r>
        <w:rPr>
          <w:rFonts w:ascii="Arial" w:cs="Arial" w:eastAsia="Arial" w:hAnsi="Arial"/>
        </w:rPr>
        <w:t xml:space="preserve">3.3. Token Economics and Margin Structure</w:t>
      </w:r>
    </w:p>
    <w:p>
      <w:pPr>
        <w:spacing w:after="200" w:line="276"/>
        <w:jc w:val="both"/>
      </w:pPr>
      <w:r>
        <w:rPr>
          <w:rFonts w:ascii="Georgia" w:cs="Georgia" w:eastAsia="Georgia" w:hAnsi="Georgia"/>
          <w:sz w:val="24"/>
          <w:szCs w:val="24"/>
        </w:rPr>
        <w:t xml:space="preserve">An underappreciated dynamic in legal AI economics is the relationship between token consumption and value capture. Most legal AI companies pay per-token costs to foundation model providers, creating a cost structure that scales with usage. This creates a natural tension: the more value the product delivers (requiring more complex AI operations), the more it costs to serve each customer.</w:t>
      </w:r>
    </w:p>
    <w:p>
      <w:pPr>
        <w:spacing w:after="200" w:line="276"/>
        <w:jc w:val="both"/>
      </w:pPr>
      <w:r>
        <w:rPr>
          <w:rFonts w:ascii="Georgia" w:cs="Georgia" w:eastAsia="Georgia" w:hAnsi="Georgia"/>
          <w:sz w:val="24"/>
          <w:szCs w:val="24"/>
        </w:rPr>
        <w:t xml:space="preserve">Companies operating at higher levels of the Value Stack escape this dynamic by decoupling their value proposition from token consumption. A platform that charges for leverage—the ability to profitably serve cases that would otherwise be uneconomic—captures value proportional to the economic expansion it enables, not the tokens it consumes. This creates margin structures that improve with scale, in contrast to the flat or compressing margins experienced by Level 1 and Level 2 companies.</w:t>
      </w:r>
    </w:p>
    <w:p>
      <w:pPr>
        <w:pStyle w:val="Heading1"/>
      </w:pPr>
      <w:r>
        <w:rPr>
          <w:rFonts w:ascii="Arial" w:cs="Arial" w:eastAsia="Arial" w:hAnsi="Arial"/>
        </w:rPr>
        <w:t xml:space="preserve">4. Implications for Legal Practitioners and Stakeholders</w:t>
      </w:r>
    </w:p>
    <w:p>
      <w:pPr>
        <w:pStyle w:val="Heading2"/>
      </w:pPr>
      <w:r>
        <w:rPr>
          <w:rFonts w:ascii="Arial" w:cs="Arial" w:eastAsia="Arial" w:hAnsi="Arial"/>
        </w:rPr>
        <w:t xml:space="preserve">4.1. For Law Firm Decision-Makers</w:t>
      </w:r>
    </w:p>
    <w:p>
      <w:pPr>
        <w:spacing w:after="200" w:line="276"/>
        <w:jc w:val="both"/>
      </w:pPr>
      <w:r>
        <w:rPr>
          <w:rFonts w:ascii="Georgia" w:cs="Georgia" w:eastAsia="Georgia" w:hAnsi="Georgia"/>
          <w:sz w:val="24"/>
          <w:szCs w:val="24"/>
        </w:rPr>
        <w:t xml:space="preserve">Attorneys evaluating AI platforms should assess prospective vendors against the Value Stack framework rather than relying primarily on feature comparisons or demo impressions. A platform that operates exclusively at Level 1—providing AI capabilities without meaningful workflow integration, proprietary data generation, or regulatory compliance infrastructure—may deliver immediate productivity gains but creates vendor risk: the platform may be commoditized or discontinued as market dynamics evolve.</w:t>
      </w:r>
    </w:p>
    <w:p>
      <w:pPr>
        <w:spacing w:after="200" w:line="276"/>
        <w:jc w:val="both"/>
      </w:pPr>
      <w:r>
        <w:rPr>
          <w:rFonts w:ascii="Georgia" w:cs="Georgia" w:eastAsia="Georgia" w:hAnsi="Georgia"/>
          <w:sz w:val="24"/>
          <w:szCs w:val="24"/>
        </w:rPr>
        <w:t xml:space="preserve">Conversely, platforms that demonstrate clear strategies for ascending the stack—embedding into existing practice management workflows, generating proprietary data assets from usage patterns, and building toward regulatory certification—represent more durable technology partnerships. The switching costs associated with higher-level platforms are real, but they reflect genuine value creation rather than artificial lock-in.</w:t>
      </w:r>
    </w:p>
    <w:p>
      <w:pPr>
        <w:pStyle w:val="Heading2"/>
      </w:pPr>
      <w:r>
        <w:rPr>
          <w:rFonts w:ascii="Arial" w:cs="Arial" w:eastAsia="Arial" w:hAnsi="Arial"/>
        </w:rPr>
        <w:t xml:space="preserve">4.2. For Legal Technology Founders and Investors</w:t>
      </w:r>
    </w:p>
    <w:p>
      <w:pPr>
        <w:spacing w:after="200" w:line="276"/>
        <w:jc w:val="both"/>
      </w:pPr>
      <w:r>
        <w:rPr>
          <w:rFonts w:ascii="Georgia" w:cs="Georgia" w:eastAsia="Georgia" w:hAnsi="Georgia"/>
          <w:sz w:val="24"/>
          <w:szCs w:val="24"/>
        </w:rPr>
        <w:t xml:space="preserve">The Value Stack framework suggests that the most valuable legal AI companies will be those that execute a deliberate ascent strategy: entering the market with differentiated capabilities (Level 1), embedding into workflows (Level 2), designing for proprietary data accumulation from day one (Level 3), investing in predictive model development as data assets mature (Level 4), and proactively building governance and compliance infrastructure (Level 5).</w:t>
      </w:r>
    </w:p>
    <w:p>
      <w:pPr>
        <w:spacing w:after="200" w:line="276"/>
        <w:jc w:val="both"/>
      </w:pPr>
      <w:r>
        <w:rPr>
          <w:rFonts w:ascii="Georgia" w:cs="Georgia" w:eastAsia="Georgia" w:hAnsi="Georgia"/>
          <w:sz w:val="24"/>
          <w:szCs w:val="24"/>
        </w:rPr>
        <w:t xml:space="preserve">Critically, the framework suggests that companies cannot skip levels. A platform that attempts to build outcome intelligence (Level 4) without first achieving the workflow penetration (Level 2) necessary to generate proprietary data (Level 3) will lack the training data required for reliable predictions. Similarly, regulatory moats (Level 5) require the institutional credibility that comes from demonstrated workflow integration and outcome accuracy at the levels below.</w:t>
      </w:r>
    </w:p>
    <w:p>
      <w:pPr>
        <w:pStyle w:val="Heading2"/>
      </w:pPr>
      <w:r>
        <w:rPr>
          <w:rFonts w:ascii="Arial" w:cs="Arial" w:eastAsia="Arial" w:hAnsi="Arial"/>
        </w:rPr>
        <w:t xml:space="preserve">4.3. For the Organized Bar and Regulators</w:t>
      </w:r>
    </w:p>
    <w:p>
      <w:pPr>
        <w:spacing w:after="200" w:line="276"/>
        <w:jc w:val="both"/>
      </w:pPr>
      <w:r>
        <w:rPr>
          <w:rFonts w:ascii="Georgia" w:cs="Georgia" w:eastAsia="Georgia" w:hAnsi="Georgia"/>
          <w:sz w:val="24"/>
          <w:szCs w:val="24"/>
        </w:rPr>
        <w:t xml:space="preserve">State bar associations and judicial regulators face a consequential choice. They can treat AI adoption as a risk to be managed through prohibitory rulemaking—an approach that will slow adoption without preventing it—or they can develop affirmative certification frameworks that establish clear standards for responsible AI use in legal practice. The latter approach would create the institutional infrastructure described at Level 5 of the Value Stack, simultaneously protecting the public interest and enabling the development of more defensible, trustworthy legal AI platforms.</w:t>
      </w:r>
    </w:p>
    <w:p>
      <w:pPr>
        <w:spacing w:after="200" w:line="276"/>
        <w:jc w:val="both"/>
      </w:pPr>
      <w:r>
        <w:rPr>
          <w:rFonts w:ascii="Georgia" w:cs="Georgia" w:eastAsia="Georgia" w:hAnsi="Georgia"/>
          <w:sz w:val="24"/>
          <w:szCs w:val="24"/>
        </w:rPr>
        <w:t xml:space="preserve">Ohio, with its integrated bar structure and established rulemaking procedures through the Supreme Court of Ohio, is well-positioned to lead in this area. A formal AI certification program—establishing standards for explainability, audit trail maintenance, data confidentiality, and supervisory compliance—would provide clarity for practitioners, differentiation for compliant platforms, and protection for the consumers of legal services.</w:t>
      </w:r>
    </w:p>
    <w:p>
      <w:pPr>
        <w:pStyle w:val="Heading1"/>
      </w:pPr>
      <w:r>
        <w:rPr>
          <w:rFonts w:ascii="Arial" w:cs="Arial" w:eastAsia="Arial" w:hAnsi="Arial"/>
        </w:rPr>
        <w:t xml:space="preserve">5. Conclusion</w:t>
      </w:r>
    </w:p>
    <w:p>
      <w:pPr>
        <w:spacing w:after="200" w:line="276"/>
        <w:jc w:val="both"/>
      </w:pPr>
      <w:r>
        <w:rPr>
          <w:rFonts w:ascii="Georgia" w:cs="Georgia" w:eastAsia="Georgia" w:hAnsi="Georgia"/>
          <w:sz w:val="24"/>
          <w:szCs w:val="24"/>
        </w:rPr>
        <w:t xml:space="preserve">The legal AI market is entering a phase of competitive maturation in which the distinction between differentiation and defensibility will determine which companies survive and which are displaced. The Legal AI Value Stack provides a structural framework for analyzing where durable competitive advantage resides—not in model sophistication or feature velocity, but in the depth of workflow integration, the accumulation of proprietary data assets, the development of predictive outcome intelligence, and the construction of regulatory-ethical moats that leverage the legal profession's unique self-regulatory structure.</w:t>
      </w:r>
    </w:p>
    <w:p>
      <w:pPr>
        <w:spacing w:after="200" w:line="276"/>
        <w:jc w:val="both"/>
      </w:pPr>
      <w:r>
        <w:rPr>
          <w:rFonts w:ascii="Georgia" w:cs="Georgia" w:eastAsia="Georgia" w:hAnsi="Georgia"/>
          <w:sz w:val="24"/>
          <w:szCs w:val="24"/>
        </w:rPr>
        <w:t xml:space="preserve">For practitioners, the framework offers a lens for evaluating technology partnerships that extends beyond demo-day impressions. For founders, it provides a strategic roadmap that prioritizes compounding advantages over feature-level differentiation. For regulators, it highlights an opportunity to shape the market's development through affirmative standard-setting rather than reactive prohibition.</w:t>
      </w:r>
    </w:p>
    <w:p>
      <w:pPr>
        <w:spacing w:after="200" w:line="276"/>
        <w:jc w:val="both"/>
      </w:pPr>
      <w:r>
        <w:rPr>
          <w:rFonts w:ascii="Georgia" w:cs="Georgia" w:eastAsia="Georgia" w:hAnsi="Georgia"/>
          <w:sz w:val="24"/>
          <w:szCs w:val="24"/>
        </w:rPr>
        <w:t xml:space="preserve">The companies that will capture the most durable value in legal AI will not be those with the most impressive models—they will be those that generate proprietary data that makes their products smarter faster than anyone else can catch up, embedded within workflows that attorneys cannot afford to abandon, certified by the institutions that govern the profession itself. The moat is not the model. The moat is time, compounded by data, reinforced by trust.</w:t>
      </w:r>
    </w:p>
    <w:p>
      <w:r>
        <w:br w:type="page"/>
      </w:r>
    </w:p>
    <w:p>
      <w:pPr>
        <w:pStyle w:val="Heading1"/>
      </w:pPr>
      <w:r>
        <w:rPr>
          <w:rFonts w:ascii="Arial" w:cs="Arial" w:eastAsia="Arial" w:hAnsi="Arial"/>
        </w:rPr>
        <w:t xml:space="preserve">References</w:t>
      </w:r>
    </w:p>
    <w:p>
      <w:pPr>
        <w:spacing w:after="200" w:line="276"/>
        <w:jc w:val="both"/>
      </w:pPr>
      <w:r>
        <w:rPr>
          <w:rFonts w:ascii="Georgia" w:cs="Georgia" w:eastAsia="Georgia" w:hAnsi="Georgia"/>
          <w:sz w:val="20"/>
          <w:szCs w:val="20"/>
        </w:rPr>
        <w:t xml:space="preserve">American Bar Association. Model Rules of Professional Conduct (2024 ed.).</w:t>
      </w:r>
    </w:p>
    <w:p>
      <w:pPr>
        <w:spacing w:after="200" w:line="276"/>
        <w:jc w:val="both"/>
      </w:pPr>
      <w:r>
        <w:rPr>
          <w:rFonts w:ascii="Georgia" w:cs="Georgia" w:eastAsia="Georgia" w:hAnsi="Georgia"/>
          <w:sz w:val="20"/>
          <w:szCs w:val="20"/>
        </w:rPr>
        <w:t xml:space="preserve">Conikee, C. "The AI Value Stack: Where Trillions Will Be Made and Lost." Beyond Boundaries (Substack), June 27, 2025.</w:t>
      </w:r>
    </w:p>
    <w:p>
      <w:pPr>
        <w:spacing w:after="200" w:line="276"/>
        <w:jc w:val="both"/>
      </w:pPr>
      <w:r>
        <w:rPr>
          <w:rFonts w:ascii="Georgia" w:cs="Georgia" w:eastAsia="Georgia" w:hAnsi="Georgia"/>
          <w:sz w:val="20"/>
          <w:szCs w:val="20"/>
        </w:rPr>
        <w:t xml:space="preserve">Conikee, C. "The Revenue Trap: When AI Differentiation Masquerades as Defensibility." Beyond Boundaries (Substack), January 23, 2026.</w:t>
      </w:r>
    </w:p>
    <w:p>
      <w:pPr>
        <w:spacing w:after="200" w:line="276"/>
        <w:jc w:val="both"/>
      </w:pPr>
      <w:r>
        <w:rPr>
          <w:rFonts w:ascii="Georgia" w:cs="Georgia" w:eastAsia="Georgia" w:hAnsi="Georgia"/>
          <w:sz w:val="20"/>
          <w:szCs w:val="20"/>
        </w:rPr>
        <w:t xml:space="preserve">Conikee, C. "The Tinker's Cult: How Tools Create Religious Followings." Beyond Boundaries (Substack), 2025.</w:t>
      </w:r>
    </w:p>
    <w:p>
      <w:pPr>
        <w:spacing w:after="200" w:line="276"/>
        <w:jc w:val="both"/>
      </w:pPr>
      <w:r>
        <w:rPr>
          <w:rFonts w:ascii="Georgia" w:cs="Georgia" w:eastAsia="Georgia" w:hAnsi="Georgia"/>
          <w:sz w:val="20"/>
          <w:szCs w:val="20"/>
        </w:rPr>
        <w:t xml:space="preserve">Eve Legal. Company website and public disclosures. https://www.eve.legal (accessed March 2026).</w:t>
      </w:r>
    </w:p>
    <w:p>
      <w:pPr>
        <w:spacing w:after="200" w:line="276"/>
        <w:jc w:val="both"/>
      </w:pPr>
      <w:r>
        <w:rPr>
          <w:rFonts w:ascii="Georgia" w:cs="Georgia" w:eastAsia="Georgia" w:hAnsi="Georgia"/>
          <w:sz w:val="20"/>
          <w:szCs w:val="20"/>
        </w:rPr>
        <w:t xml:space="preserve">Gartner. "Predicts 2026: AI Agent Adoption and Organizational Impact." 2025.</w:t>
      </w:r>
    </w:p>
    <w:p>
      <w:pPr>
        <w:spacing w:after="200" w:line="276"/>
        <w:jc w:val="both"/>
      </w:pPr>
      <w:r>
        <w:rPr>
          <w:rFonts w:ascii="Georgia" w:cs="Georgia" w:eastAsia="Georgia" w:hAnsi="Georgia"/>
          <w:sz w:val="20"/>
          <w:szCs w:val="20"/>
        </w:rPr>
        <w:t xml:space="preserve">May, R. "The New White Collar Moat in AI." Investing in AI (Substack), March 2026.</w:t>
      </w:r>
    </w:p>
    <w:p>
      <w:pPr>
        <w:spacing w:after="200" w:line="276"/>
        <w:jc w:val="both"/>
      </w:pPr>
      <w:r>
        <w:rPr>
          <w:rFonts w:ascii="Georgia" w:cs="Georgia" w:eastAsia="Georgia" w:hAnsi="Georgia"/>
          <w:sz w:val="20"/>
          <w:szCs w:val="20"/>
        </w:rPr>
        <w:t xml:space="preserve">McKinsey &amp; Company. "The State of AI in 2025." McKinsey Global Survey, 2025.</w:t>
      </w:r>
    </w:p>
    <w:p>
      <w:pPr>
        <w:spacing w:after="200" w:line="276"/>
        <w:jc w:val="both"/>
      </w:pPr>
      <w:r>
        <w:rPr>
          <w:rFonts w:ascii="Georgia" w:cs="Georgia" w:eastAsia="Georgia" w:hAnsi="Georgia"/>
          <w:sz w:val="20"/>
          <w:szCs w:val="20"/>
        </w:rPr>
        <w:t xml:space="preserve">National Institute of Standards and Technology. AI Risk Management Framework (AI RMF 1.0). U.S. Department of Commerce, January 2023.</w:t>
      </w:r>
    </w:p>
    <w:p>
      <w:pPr>
        <w:spacing w:after="200" w:line="276"/>
        <w:jc w:val="both"/>
      </w:pPr>
      <w:r>
        <w:rPr>
          <w:rFonts w:ascii="Georgia" w:cs="Georgia" w:eastAsia="Georgia" w:hAnsi="Georgia"/>
          <w:sz w:val="20"/>
          <w:szCs w:val="20"/>
        </w:rPr>
        <w:t xml:space="preserve">Ohio Supreme Court. Ohio Rules of Professional Conduct (2024 ed.).</w:t>
      </w:r>
    </w:p>
    <w:p>
      <w:pPr>
        <w:spacing w:after="200" w:line="276"/>
        <w:jc w:val="both"/>
      </w:pPr>
      <w:r>
        <w:rPr>
          <w:rFonts w:ascii="Georgia" w:cs="Georgia" w:eastAsia="Georgia" w:hAnsi="Georgia"/>
          <w:sz w:val="20"/>
          <w:szCs w:val="20"/>
        </w:rPr>
        <w:t xml:space="preserve">Perez, E. "Defensibility in the Age of AI: Five Attributes Every Vertical Startup Needs." Medium, September 2025.</w:t>
      </w:r>
    </w:p>
    <w:p>
      <w:pPr>
        <w:spacing w:after="200" w:line="276"/>
        <w:jc w:val="both"/>
      </w:pPr>
      <w:r>
        <w:rPr>
          <w:rFonts w:ascii="Georgia" w:cs="Georgia" w:eastAsia="Georgia" w:hAnsi="Georgia"/>
          <w:sz w:val="20"/>
          <w:szCs w:val="20"/>
        </w:rPr>
        <w:t xml:space="preserve">Swaroop, P. "You Just Raised $5M to Build Someone Else's Moat." Substack, March 2026.</w:t>
      </w:r>
    </w:p>
    <w:p>
      <w:pPr>
        <w:spacing w:after="200" w:line="276"/>
        <w:jc w:val="both"/>
      </w:pPr>
      <w:r>
        <w:rPr>
          <w:rFonts w:ascii="Georgia" w:cs="Georgia" w:eastAsia="Georgia" w:hAnsi="Georgia"/>
          <w:sz w:val="20"/>
          <w:szCs w:val="20"/>
        </w:rPr>
        <w:t xml:space="preserve">Thomas, A. "Data and Defensibility." Abraham Thomas, 2023.</w:t>
      </w:r>
    </w:p>
    <w:p>
      <w:pPr>
        <w:spacing w:after="200" w:line="276"/>
        <w:jc w:val="both"/>
      </w:pPr>
      <w:r>
        <w:rPr>
          <w:rFonts w:ascii="Georgia" w:cs="Georgia" w:eastAsia="Georgia" w:hAnsi="Georgia"/>
          <w:sz w:val="20"/>
          <w:szCs w:val="20"/>
        </w:rPr>
        <w:t xml:space="preserve">TrustArray / Relativity. "The AI &amp; Legal Tech Forecast 2026: What's Working Now and What's Next." March 2026.</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0C4DE" w:sz="1" w:space="4"/>
      </w:pBd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0C4DE" w:sz="1" w:space="4"/>
      </w:pBdr>
      <w:jc w:val="right"/>
    </w:pPr>
    <w:r>
      <w:rPr>
        <w:rFonts w:ascii="Arial" w:cs="Arial" w:eastAsia="Arial" w:hAnsi="Arial"/>
        <w:i/>
        <w:iCs/>
        <w:color w:val="999999"/>
        <w:sz w:val="16"/>
        <w:szCs w:val="16"/>
      </w:rPr>
      <w:t xml:space="preserve">The Legal AI Value Stack  |  Mishak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Arial" w:cs="Arial" w:eastAsia="Arial" w:hAnsi="Arial"/>
      <w:b/>
      <w:bCs/>
      <w:color w:val="1B3A5C"/>
      <w:sz w:val="36"/>
      <w:szCs w:val="36"/>
    </w:rPr>
  </w:style>
  <w:style w:type="paragraph" w:styleId="Heading2">
    <w:name w:val="Heading 2"/>
    <w:basedOn w:val="Normal"/>
    <w:next w:val="Normal"/>
    <w:qFormat/>
    <w:pPr>
      <w:spacing w:after="180" w:before="360"/>
      <w:outlineLvl w:val="1"/>
    </w:pPr>
    <w:rPr>
      <w:rFonts w:ascii="Arial" w:cs="Arial" w:eastAsia="Arial" w:hAnsi="Arial"/>
      <w:b/>
      <w:bCs/>
      <w:color w:val="1B3A5C"/>
      <w:sz w:val="30"/>
      <w:szCs w:val="30"/>
    </w:rPr>
  </w:style>
  <w:style w:type="paragraph" w:styleId="Heading3">
    <w:name w:val="Heading 3"/>
    <w:basedOn w:val="Normal"/>
    <w:next w:val="Normal"/>
    <w:qFormat/>
    <w:pPr>
      <w:spacing w:after="120" w:before="240"/>
      <w:outlineLvl w:val="2"/>
    </w:pPr>
    <w:rPr>
      <w:rFonts w:ascii="Arial" w:cs="Arial" w:eastAsia="Arial" w:hAnsi="Arial"/>
      <w:b/>
      <w:bCs/>
      <w:color w:val="333333"/>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2026-03-11T00:54:10.250Z</dcterms:created>
  <dcterms:modified xsi:type="dcterms:W3CDTF">2026-03-11T00:54:10.251Z</dcterms:modified>
</cp:coreProperties>
</file>

<file path=docProps/custom.xml><?xml version="1.0" encoding="utf-8"?>
<Properties xmlns="http://schemas.openxmlformats.org/officeDocument/2006/custom-properties" xmlns:vt="http://schemas.openxmlformats.org/officeDocument/2006/docPropsVTypes"/>
</file>