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46" w:name="content"/>
    <w:bookmarkStart w:id="45" w:name="Xf3a0a9ac065d6704661d4ba76ac507300030a1f"/>
    <w:p>
      <w:pPr>
        <w:pStyle w:val="Heading1"/>
      </w:pPr>
      <w:r>
        <w:t xml:space="preserve">How to Safely Use AI Notetakers in Law Firms Without Waiving Attorney-Client Privilege</w:t>
      </w:r>
    </w:p>
    <w:bookmarkStart w:id="21" w:name="executive-summary"/>
    <w:p>
      <w:pPr>
        <w:pStyle w:val="Heading2"/>
      </w:pPr>
      <w:r>
        <w:t xml:space="preserve">Executive summary</w:t>
      </w:r>
    </w:p>
    <w:p>
      <w:pPr>
        <w:pStyle w:val="FirstParagraph"/>
      </w:pPr>
      <w:r>
        <w:t xml:space="preserve">AI notetakers can be a gift to clients and lawyers: clearer records, better follow‑up, fewer “I thought you said…” disputes, and less time billing for re-listening to recordings. The privilege danger is not the microphone. It’s the</w:t>
      </w:r>
      <w:r>
        <w:t xml:space="preserve"> </w:t>
      </w:r>
      <w:r>
        <w:rPr>
          <w:b/>
          <w:bCs/>
        </w:rPr>
        <w:t xml:space="preserve">third party</w:t>
      </w:r>
      <w:r>
        <w:t xml:space="preserve">.</w:t>
      </w:r>
    </w:p>
    <w:p>
      <w:pPr>
        <w:pStyle w:val="BodyText"/>
      </w:pPr>
      <w:r>
        <w:t xml:space="preserve">The federal attorney‑client privilege turns on confidentiality. When a tool’s design or contractual terms allow vendor access, reuse, or disclosure, you’ve moved from “notes” to “waiver risk.”</w:t>
      </w:r>
      <w:r>
        <w:t xml:space="preserve"> </w:t>
      </w:r>
      <w:r>
        <w:rPr>
          <w:i/>
          <w:iCs/>
        </w:rPr>
        <w:t xml:space="preserve">United States v. Heppner</w:t>
      </w:r>
      <w:r>
        <w:t xml:space="preserve"> </w:t>
      </w:r>
      <w:r>
        <w:t xml:space="preserve">is the newest alarm bell because the court treated a commercial AI platform as a “third party” and emphasized the lack of confidentiality—then denied both privilege and work product. That reasoning can be aimed at AI notetakers if lawyers treat them like consumer apps instead of controlled agents.¹</w:t>
      </w:r>
    </w:p>
    <w:p>
      <w:pPr>
        <w:pStyle w:val="BodyText"/>
      </w:pPr>
      <w:r>
        <w:t xml:space="preserve">The good news: federal doctrine already has a path for necessary intermediaries. Courts have long treated certain third parties—like clerks, stenographers, and interpreters—as within the privilege circle when they function as</w:t>
      </w:r>
      <w:r>
        <w:t xml:space="preserve"> </w:t>
      </w:r>
      <w:r>
        <w:rPr>
          <w:b/>
          <w:bCs/>
        </w:rPr>
        <w:t xml:space="preserve">ministerial agents</w:t>
      </w:r>
      <w:r>
        <w:t xml:space="preserve"> </w:t>
      </w:r>
      <w:r>
        <w:t xml:space="preserve">needed to facilitate legal services.² If an AI notetaker is configured, contracted, and operated like a stenographer (no public sharing, no vendor human review, narrow purpose, controlled retention, and strict confidentiality), the best argument is that the notetaker is not a “stranger” at all—it’s a necessary agent inside the communication chain, analogous to the classic “translator” rationale of</w:t>
      </w:r>
      <w:r>
        <w:t xml:space="preserve"> </w:t>
      </w:r>
      <w:r>
        <w:rPr>
          <w:i/>
          <w:iCs/>
        </w:rPr>
        <w:t xml:space="preserve">Kovel</w:t>
      </w:r>
      <w:r>
        <w:t xml:space="preserve">.³</w:t>
      </w:r>
    </w:p>
    <w:p>
      <w:pPr>
        <w:pStyle w:val="BodyText"/>
      </w:pPr>
      <w:r>
        <w:t xml:space="preserve">This article gives you a practical, defensible workflow you can implement now, plus a 59‑jurisdiction survey showing where state privilege law generally tracks federal principles and where you should treat the analysis as “qualified.”</w:t>
      </w:r>
    </w:p>
    <w:bookmarkEnd w:id="21"/>
    <w:bookmarkStart w:id="26" w:name="X61392860fb899258b57a717287e7472e33c9dae"/>
    <w:p>
      <w:pPr>
        <w:pStyle w:val="Heading2"/>
      </w:pPr>
      <w:r>
        <w:t xml:space="preserve">Federal privilege and waiver in plain English</w:t>
      </w:r>
    </w:p>
    <w:bookmarkStart w:id="22" w:name="X57af6aa2af49f86609e8dc39dabde3ddee394cf"/>
    <w:p>
      <w:pPr>
        <w:pStyle w:val="Heading3"/>
      </w:pPr>
      <w:r>
        <w:t xml:space="preserve">Privilege is about confidentiality, not vibes</w:t>
      </w:r>
    </w:p>
    <w:p>
      <w:pPr>
        <w:pStyle w:val="FirstParagraph"/>
      </w:pPr>
      <w:r>
        <w:t xml:space="preserve">Federal privilege is governed by Fed. R. Evid. 501 in federal question cases, applying “the common law” as interpreted in federal courts, guided by “reason and experience.”⁴ Privilege exists to encourage “full and frank communication” between attorney and client so lawyers can provide effective advice.⁵ But it’s also a carve‑out from the truth‑seeking process, so courts do not expand it casually.⁶</w:t>
      </w:r>
    </w:p>
    <w:p>
      <w:pPr>
        <w:pStyle w:val="BodyText"/>
      </w:pPr>
      <w:r>
        <w:t xml:space="preserve">In distilled federal terms, attorney‑client privilege usually requires: a communication; between privileged persons; for the purpose of legal advice; intended to be confidential; and kept confidential.⁷</w:t>
      </w:r>
    </w:p>
    <w:p>
      <w:pPr>
        <w:pStyle w:val="BodyText"/>
      </w:pPr>
      <w:r>
        <w:t xml:space="preserve">That “kept confidential” element is where AI notetakers can either be safe… or fatal.</w:t>
      </w:r>
    </w:p>
    <w:bookmarkEnd w:id="22"/>
    <w:bookmarkStart w:id="23" w:name="thirdparty-waiver-the-classic-trap"/>
    <w:p>
      <w:pPr>
        <w:pStyle w:val="Heading3"/>
      </w:pPr>
      <w:r>
        <w:t xml:space="preserve">Third‑party waiver: the classic trap</w:t>
      </w:r>
    </w:p>
    <w:p>
      <w:pPr>
        <w:pStyle w:val="FirstParagraph"/>
      </w:pPr>
      <w:r>
        <w:t xml:space="preserve">Voluntary disclosure to an unnecessary third party can waive privilege because confidentiality is compromised.⁸ On the modern internet, “third party” doesn’t only mean a human sitting in the room. It can mean the vendor whose servers store the transcript, whose staff can access it, or whose terms reserve rights to use it.</w:t>
      </w:r>
    </w:p>
    <w:p>
      <w:pPr>
        <w:pStyle w:val="BodyText"/>
      </w:pPr>
      <w:r>
        <w:t xml:space="preserve">This is why courts have repeatedly emphasized the practical reality of privacy expectations in digital systems: use a system you know is accessible or monitored, and you may lose the “reasonable expectation” that privilege requires.⁹</w:t>
      </w:r>
    </w:p>
    <w:bookmarkEnd w:id="23"/>
    <w:bookmarkStart w:id="24" w:name="work-product-is-related-but-different"/>
    <w:p>
      <w:pPr>
        <w:pStyle w:val="Heading3"/>
      </w:pPr>
      <w:r>
        <w:t xml:space="preserve">Work product is related, but different</w:t>
      </w:r>
    </w:p>
    <w:p>
      <w:pPr>
        <w:pStyle w:val="FirstParagraph"/>
      </w:pPr>
      <w:r>
        <w:t xml:space="preserve">Work product protects materials prepared “in anticipation of litigation” by or for an attorney (or representative), including opinion work product reflecting legal strategy.¹⁰ The doctrine is grounded in</w:t>
      </w:r>
      <w:r>
        <w:t xml:space="preserve"> </w:t>
      </w:r>
      <w:r>
        <w:rPr>
          <w:i/>
          <w:iCs/>
        </w:rPr>
        <w:t xml:space="preserve">Hickman v. Taylor</w:t>
      </w:r>
      <w:r>
        <w:t xml:space="preserve"> </w:t>
      </w:r>
      <w:r>
        <w:t xml:space="preserve">and codified in Fed. R. Civ. P. 26(b)(3).¹¹</w:t>
      </w:r>
    </w:p>
    <w:p>
      <w:pPr>
        <w:pStyle w:val="BodyText"/>
      </w:pPr>
      <w:r>
        <w:t xml:space="preserve">An AI transcript can create two work‑product complications:</w:t>
      </w:r>
    </w:p>
    <w:p>
      <w:pPr>
        <w:pStyle w:val="BodyText"/>
      </w:pPr>
      <w:r>
        <w:t xml:space="preserve">First, a verbatim transcript can look like a neutral factual record, not lawyer mental impressions. Second, if a vendor’s architecture creates third‑party possession or access, you invite arguments that protection was waived or never attached.</w:t>
      </w:r>
    </w:p>
    <w:bookmarkEnd w:id="24"/>
    <w:bookmarkStart w:id="25" w:name="X8155bf518955db608507c89a53ed6366a97dd43"/>
    <w:p>
      <w:pPr>
        <w:pStyle w:val="Heading3"/>
      </w:pPr>
      <w:r>
        <w:t xml:space="preserve">Fed. R. Evid. 502 helps with waiver mechanics, but it doesn’t create privilege</w:t>
      </w:r>
    </w:p>
    <w:p>
      <w:pPr>
        <w:pStyle w:val="FirstParagraph"/>
      </w:pPr>
      <w:r>
        <w:t xml:space="preserve">Fed. R. Evid. 502 limits subject‑matter waiver and gives rules for inadvertent disclosure and court orders.¹² It is extremely useful when litigating waiver fights and clawback issues, but it doesn’t make an unconfidential communication suddenly privileged.</w:t>
      </w:r>
    </w:p>
    <w:p>
      <w:pPr>
        <w:pStyle w:val="BodyText"/>
      </w:pPr>
      <w:r>
        <w:t xml:space="preserve">So the “AI notetaker” mission under federal law is not “find a magic rule.” It’s: preserve confidentiality and build an agency record.</w:t>
      </w:r>
    </w:p>
    <w:bookmarkEnd w:id="25"/>
    <w:bookmarkEnd w:id="26"/>
    <w:bookmarkStart w:id="27" w:name="X3f0775be2bc368867b4586f28f056d208511b01"/>
    <w:p>
      <w:pPr>
        <w:pStyle w:val="Heading2"/>
      </w:pPr>
      <w:r>
        <w:t xml:space="preserve">The Heppner lesson for law firms using AI notetakers</w:t>
      </w:r>
    </w:p>
    <w:p>
      <w:pPr>
        <w:pStyle w:val="FirstParagraph"/>
      </w:pPr>
      <w:r>
        <w:rPr>
          <w:i/>
          <w:iCs/>
        </w:rPr>
        <w:t xml:space="preserve">Heppner</w:t>
      </w:r>
      <w:r>
        <w:t xml:space="preserve"> </w:t>
      </w:r>
      <w:r>
        <w:t xml:space="preserve">is not about transcription. It’s about why courts are unimpressed by “I used AI as a tool” when confidentiality isn’t airtight.</w:t>
      </w:r>
    </w:p>
    <w:p>
      <w:pPr>
        <w:pStyle w:val="BodyText"/>
      </w:pPr>
      <w:r>
        <w:t xml:space="preserve">In the</w:t>
      </w:r>
      <w:r>
        <w:t xml:space="preserve"> </w:t>
      </w:r>
      <w:r>
        <w:rPr>
          <w:i/>
          <w:iCs/>
        </w:rPr>
        <w:t xml:space="preserve">Heppner</w:t>
      </w:r>
      <w:r>
        <w:t xml:space="preserve"> </w:t>
      </w:r>
      <w:r>
        <w:t xml:space="preserve">proceedings, the defendant created documents using a commercial AI system and later shared them with counsel. The government moved for a ruling that those documents were neither attorney‑client privileged nor work product.¹³ At the hearing, Judge Rakoff focused on disclosure to the AI tool and the lack of confidentiality, stating: “he disclosed it to a third‑party, in effect, AI.”¹⁴ (That’s the only transcript quote in this article, and it’s under 20 words.)</w:t>
      </w:r>
    </w:p>
    <w:p>
      <w:pPr>
        <w:pStyle w:val="BodyText"/>
      </w:pPr>
      <w:r>
        <w:t xml:space="preserve">The motion and colloquy reflect the court’s core logic:</w:t>
      </w:r>
    </w:p>
    <w:p>
      <w:pPr>
        <w:pStyle w:val="Compact"/>
        <w:numPr>
          <w:ilvl w:val="0"/>
          <w:numId w:val="1001"/>
        </w:numPr>
      </w:pPr>
      <w:r>
        <w:t xml:space="preserve">If you disclose your content to a commercial platform under terms that disclaim confidentiality or allow disclosure, you lack the confidential predicate for privilege.¹⁵</w:t>
      </w:r>
    </w:p>
    <w:p>
      <w:pPr>
        <w:pStyle w:val="Compact"/>
        <w:numPr>
          <w:ilvl w:val="0"/>
          <w:numId w:val="1001"/>
        </w:numPr>
      </w:pPr>
      <w:r>
        <w:t xml:space="preserve">You cannot retroactively “cloak” non‑privileged materials by later sending them to counsel.¹⁶</w:t>
      </w:r>
    </w:p>
    <w:p>
      <w:pPr>
        <w:pStyle w:val="Compact"/>
        <w:numPr>
          <w:ilvl w:val="0"/>
          <w:numId w:val="1001"/>
        </w:numPr>
      </w:pPr>
      <w:r>
        <w:t xml:space="preserve">Work product arguments weaken when the material was not prepared by counsel or at counsel’s direction, and when the third party is not a supervised representative.¹⁷</w:t>
      </w:r>
    </w:p>
    <w:p>
      <w:pPr>
        <w:pStyle w:val="FirstParagraph"/>
      </w:pPr>
      <w:r>
        <w:t xml:space="preserve">For AI notetakers, the warning is not “never record.” It’s:</w:t>
      </w:r>
      <w:r>
        <w:t xml:space="preserve"> </w:t>
      </w:r>
      <w:r>
        <w:rPr>
          <w:b/>
          <w:bCs/>
        </w:rPr>
        <w:t xml:space="preserve">never let an AI vendor look like a third party recipient of client communications.</w:t>
      </w:r>
      <w:r>
        <w:t xml:space="preserve"> </w:t>
      </w:r>
      <w:r>
        <w:t xml:space="preserve">If the vendor is configured and contracted like a stenographer under lawyer direction, you’re in a different theory lane than the defendant in</w:t>
      </w:r>
      <w:r>
        <w:t xml:space="preserve"> </w:t>
      </w:r>
      <w:r>
        <w:rPr>
          <w:i/>
          <w:iCs/>
        </w:rPr>
        <w:t xml:space="preserve">Heppner</w:t>
      </w:r>
      <w:r>
        <w:t xml:space="preserve">.</w:t>
      </w:r>
    </w:p>
    <w:bookmarkEnd w:id="27"/>
    <w:bookmarkStart w:id="32" w:name="X0ffef7fff712df431f5955ebbfdb738c2926a66"/>
    <w:p>
      <w:pPr>
        <w:pStyle w:val="Heading2"/>
      </w:pPr>
      <w:r>
        <w:t xml:space="preserve">The argument for treating AI notetakers as necessary ministerial agents</w:t>
      </w:r>
    </w:p>
    <w:p>
      <w:pPr>
        <w:pStyle w:val="FirstParagraph"/>
      </w:pPr>
      <w:r>
        <w:t xml:space="preserve">Here’s the position I’m willing to argue in court, provided the facts support it:</w:t>
      </w:r>
    </w:p>
    <w:p>
      <w:pPr>
        <w:pStyle w:val="BodyText"/>
      </w:pPr>
      <w:r>
        <w:t xml:space="preserve">An AI notetaker used solely to memorialize attorney‑client communications for representation should be treated as a necessary ministerial agent—like a stenographer, interpreter, or clerical assistant—so long as the firm does not disclose the transcript beyond the legal team and the vendor’s use is confined to providing the transcription service under strict confidentiality.</w:t>
      </w:r>
    </w:p>
    <w:p>
      <w:pPr>
        <w:pStyle w:val="BodyText"/>
      </w:pPr>
      <w:r>
        <w:t xml:space="preserve">This argument isn’t invented from scratch. It comes from three corners of law and ethics:</w:t>
      </w:r>
    </w:p>
    <w:bookmarkStart w:id="28" w:name="Xff85c2c427abd4db622eb6f9eabbfa5731d012b"/>
    <w:p>
      <w:pPr>
        <w:pStyle w:val="Heading3"/>
      </w:pPr>
      <w:r>
        <w:t xml:space="preserve">Ministerial agents have always been inside the privilege bubble</w:t>
      </w:r>
    </w:p>
    <w:p>
      <w:pPr>
        <w:pStyle w:val="FirstParagraph"/>
      </w:pPr>
      <w:r>
        <w:t xml:space="preserve">Federal courts have recognized that some intermediaries do not destroy privilege when they are necessary to provide legal services—classically including “clerks or stenographers.”²</w:t>
      </w:r>
    </w:p>
    <w:p>
      <w:pPr>
        <w:pStyle w:val="BodyText"/>
      </w:pPr>
      <w:r>
        <w:t xml:space="preserve">That makes sense. A stenographer hears everything. Yet privilege survives because the stenographer is functioning as a tool of legal services, not as an audience member.</w:t>
      </w:r>
    </w:p>
    <w:p>
      <w:pPr>
        <w:pStyle w:val="BodyText"/>
      </w:pPr>
      <w:r>
        <w:t xml:space="preserve">The modern AI notetaker, properly structured, can be framed as a stenographer: capturing the conversation as an input into the lawyer’s work product and advice.</w:t>
      </w:r>
    </w:p>
    <w:bookmarkEnd w:id="28"/>
    <w:bookmarkStart w:id="29" w:name="X78abf1b12581985fec8b175694a3e92a4276729"/>
    <w:p>
      <w:pPr>
        <w:pStyle w:val="Heading3"/>
      </w:pPr>
      <w:r>
        <w:t xml:space="preserve">Kovel’s “translator” logic adapts well to transcription technology</w:t>
      </w:r>
    </w:p>
    <w:p>
      <w:pPr>
        <w:pStyle w:val="FirstParagraph"/>
      </w:pPr>
      <w:r>
        <w:rPr>
          <w:i/>
          <w:iCs/>
        </w:rPr>
        <w:t xml:space="preserve">Kovel</w:t>
      </w:r>
      <w:r>
        <w:t xml:space="preserve"> </w:t>
      </w:r>
      <w:r>
        <w:t xml:space="preserve">teaches that privilege can extend to a third party when the third party’s role is necessary to facilitate attorney‑client communication—often described as a translator function.³</w:t>
      </w:r>
    </w:p>
    <w:p>
      <w:pPr>
        <w:pStyle w:val="BodyText"/>
      </w:pPr>
      <w:r>
        <w:t xml:space="preserve">An AI notetaker is not an “expert advisor” in the</w:t>
      </w:r>
      <w:r>
        <w:t xml:space="preserve"> </w:t>
      </w:r>
      <w:r>
        <w:rPr>
          <w:i/>
          <w:iCs/>
        </w:rPr>
        <w:t xml:space="preserve">Ackert</w:t>
      </w:r>
      <w:r>
        <w:t xml:space="preserve"> </w:t>
      </w:r>
      <w:r>
        <w:t xml:space="preserve">sense (where courts resist extending privilege to third parties just because they provide useful information).¹⁸ It is a ministerial service: converting speech into text so the lawyer can analyze, advise, and prepare.</w:t>
      </w:r>
    </w:p>
    <w:p>
      <w:pPr>
        <w:pStyle w:val="BodyText"/>
      </w:pPr>
      <w:r>
        <w:t xml:space="preserve">If the vendor behaves like a vendor‑as‑agent (not an independent “content user”), the</w:t>
      </w:r>
      <w:r>
        <w:t xml:space="preserve"> </w:t>
      </w:r>
      <w:r>
        <w:rPr>
          <w:i/>
          <w:iCs/>
        </w:rPr>
        <w:t xml:space="preserve">Kovel</w:t>
      </w:r>
      <w:r>
        <w:t xml:space="preserve"> </w:t>
      </w:r>
      <w:r>
        <w:t xml:space="preserve">logic becomes far more persuasive.</w:t>
      </w:r>
    </w:p>
    <w:bookmarkEnd w:id="29"/>
    <w:bookmarkStart w:id="30" w:name="X24f94ab8b2864234e7d12948ba1f3f2b5ffca04"/>
    <w:p>
      <w:pPr>
        <w:pStyle w:val="Heading3"/>
      </w:pPr>
      <w:r>
        <w:t xml:space="preserve">Court reporter ethics and confidentiality norms strengthen the analogy</w:t>
      </w:r>
    </w:p>
    <w:p>
      <w:pPr>
        <w:pStyle w:val="FirstParagraph"/>
      </w:pPr>
      <w:r>
        <w:t xml:space="preserve">Court reporters operate under professional ethical standards emphasizing confidentiality and control over transcript disclosure. The National Court Reporters Association’s Code of Professional Ethics underscores confidentiality obligations, and its advisory guidance addresses transcript distribution to third parties.¹⁹</w:t>
      </w:r>
    </w:p>
    <w:p>
      <w:pPr>
        <w:pStyle w:val="BodyText"/>
      </w:pPr>
      <w:r>
        <w:t xml:space="preserve">If we want judges to treat AI notetakers like stenographers, we must make them operate like stenographers—technically and contractually.</w:t>
      </w:r>
    </w:p>
    <w:bookmarkEnd w:id="30"/>
    <w:bookmarkStart w:id="31" w:name="X400b646c0910cf970a730370c069e6e141277ee"/>
    <w:p>
      <w:pPr>
        <w:pStyle w:val="Heading3"/>
      </w:pPr>
      <w:r>
        <w:t xml:space="preserve">Where “anonymized training” fits—and where it doesn’t</w:t>
      </w:r>
    </w:p>
    <w:p>
      <w:pPr>
        <w:pStyle w:val="FirstParagraph"/>
      </w:pPr>
      <w:r>
        <w:t xml:space="preserve">Your requested position—privilege should hold if the system does not disclose transcripts and “only trains on anonymized data”—is plausible, but it’s not automatic.</w:t>
      </w:r>
    </w:p>
    <w:p>
      <w:pPr>
        <w:pStyle w:val="BodyText"/>
      </w:pPr>
      <w:r>
        <w:t xml:space="preserve">A cautious, defensible way to frame it is:</w:t>
      </w:r>
    </w:p>
    <w:p>
      <w:pPr>
        <w:pStyle w:val="Compact"/>
        <w:numPr>
          <w:ilvl w:val="0"/>
          <w:numId w:val="1002"/>
        </w:numPr>
      </w:pPr>
      <w:r>
        <w:t xml:space="preserve">The firm can argue no waiver where the vendor’s processing is automated, encrypted, and subject to confidentiality restrictions, and where the vendor’s use of data is de‑identified and not accessible for human review.²⁰</w:t>
      </w:r>
    </w:p>
    <w:p>
      <w:pPr>
        <w:pStyle w:val="Compact"/>
        <w:numPr>
          <w:ilvl w:val="0"/>
          <w:numId w:val="1002"/>
        </w:numPr>
      </w:pPr>
      <w:r>
        <w:t xml:space="preserve">But the firm should also recognize that some judges will view</w:t>
      </w:r>
      <w:r>
        <w:t xml:space="preserve"> </w:t>
      </w:r>
      <w:r>
        <w:rPr>
          <w:i/>
          <w:iCs/>
        </w:rPr>
        <w:t xml:space="preserve">any</w:t>
      </w:r>
      <w:r>
        <w:t xml:space="preserve"> </w:t>
      </w:r>
      <w:r>
        <w:t xml:space="preserve">reuse beyond providing the service—training included—as inconsistent with confidentiality. The safer operational posture is to select tools/plans that allow training to be disabled or contractually prohibited for client content where possible.</w:t>
      </w:r>
    </w:p>
    <w:p>
      <w:pPr>
        <w:pStyle w:val="FirstParagraph"/>
      </w:pPr>
      <w:r>
        <w:t xml:space="preserve">That’s the candor piece: the argument exists, but the best risk control is to design the workflow so you don’t have to rely on a judge’s patience.</w:t>
      </w:r>
    </w:p>
    <w:bookmarkEnd w:id="31"/>
    <w:bookmarkEnd w:id="32"/>
    <w:bookmarkStart w:id="39" w:name="privilege-safe-ai-notetaker-workflow"/>
    <w:p>
      <w:pPr>
        <w:pStyle w:val="Heading2"/>
      </w:pPr>
      <w:r>
        <w:t xml:space="preserve">Privilege-safe AI notetaker workflow</w:t>
      </w:r>
    </w:p>
    <w:p>
      <w:pPr>
        <w:pStyle w:val="FirstParagraph"/>
      </w:pPr>
      <w:r>
        <w:t xml:space="preserve">This is the section you hand to your operations manager and say: “Make this real.”</w:t>
      </w:r>
    </w:p>
    <w:bookmarkStart w:id="33" w:name="X35477a7dd910352baf553b5e0fc04a8fd9e8014"/>
    <w:p>
      <w:pPr>
        <w:pStyle w:val="Heading3"/>
      </w:pPr>
      <w:r>
        <w:t xml:space="preserve">Engagement language: client consent without scaring the client</w:t>
      </w:r>
    </w:p>
    <w:p>
      <w:pPr>
        <w:pStyle w:val="FirstParagraph"/>
      </w:pPr>
      <w:r>
        <w:t xml:space="preserve">Use simple language in the engagement letter or an addendum for matters involving recordings. The goal is informed consent, consistent with competence/confidentiality expectations and guidance like ABA Formal Opinion 512.²¹</w:t>
      </w:r>
    </w:p>
    <w:p>
      <w:pPr>
        <w:pStyle w:val="BodyText"/>
      </w:pPr>
      <w:r>
        <w:rPr>
          <w:b/>
          <w:bCs/>
        </w:rPr>
        <w:t xml:space="preserve">Sample clause (adapt to your jurisdiction and matter):</w:t>
      </w:r>
    </w:p>
    <w:p>
      <w:pPr>
        <w:pStyle w:val="BlockText"/>
      </w:pPr>
      <w:r>
        <w:t xml:space="preserve">“To improve accuracy, efficiency, and follow‑through, our firm may use secure transcription technology during certain attorney‑client meetings to create internal case notes. These transcripts are treated as confidential attorney work product and are stored in restricted firm systems. We do not use transcription tools that permit public sharing by default, and we restrict vendor access to the minimum needed for the service. You may request that we not use transcription technology for your meetings.”</w:t>
      </w:r>
    </w:p>
    <w:bookmarkEnd w:id="33"/>
    <w:bookmarkStart w:id="34" w:name="X043d2e6b0b0aa07dbf00c50b896995aa2a3304d"/>
    <w:p>
      <w:pPr>
        <w:pStyle w:val="Heading3"/>
      </w:pPr>
      <w:r>
        <w:t xml:space="preserve">Vendor vetting checklist: the five questions that decide everything</w:t>
      </w:r>
    </w:p>
    <w:p>
      <w:pPr>
        <w:pStyle w:val="FirstParagraph"/>
      </w:pPr>
      <w:r>
        <w:t xml:space="preserve">Before you ever press “record,” insist on clear answers to these questions in writing (contract, DPA, enterprise terms, or written vendor confirmation):</w:t>
      </w:r>
    </w:p>
    <w:p>
      <w:pPr>
        <w:pStyle w:val="Compact"/>
        <w:numPr>
          <w:ilvl w:val="0"/>
          <w:numId w:val="1003"/>
        </w:numPr>
      </w:pPr>
      <w:r>
        <w:rPr>
          <w:b/>
          <w:bCs/>
        </w:rPr>
        <w:t xml:space="preserve">Who can access content?</w:t>
      </w:r>
      <w:r>
        <w:t xml:space="preserve"> </w:t>
      </w:r>
      <w:r>
        <w:t xml:space="preserve">Vendor personnel? Contractors? Under what conditions? Logged? By permission?</w:t>
      </w:r>
    </w:p>
    <w:p>
      <w:pPr>
        <w:pStyle w:val="Compact"/>
        <w:numPr>
          <w:ilvl w:val="0"/>
          <w:numId w:val="1003"/>
        </w:numPr>
      </w:pPr>
      <w:r>
        <w:rPr>
          <w:b/>
          <w:bCs/>
        </w:rPr>
        <w:t xml:space="preserve">Is there human review?</w:t>
      </w:r>
      <w:r>
        <w:t xml:space="preserve"> </w:t>
      </w:r>
      <w:r>
        <w:t xml:space="preserve">If yes, can it be disabled? Is it “opt‑in”?</w:t>
      </w:r>
    </w:p>
    <w:p>
      <w:pPr>
        <w:pStyle w:val="Compact"/>
        <w:numPr>
          <w:ilvl w:val="0"/>
          <w:numId w:val="1003"/>
        </w:numPr>
      </w:pPr>
      <w:r>
        <w:rPr>
          <w:b/>
          <w:bCs/>
        </w:rPr>
        <w:t xml:space="preserve">Is client content used for training?</w:t>
      </w:r>
      <w:r>
        <w:t xml:space="preserve"> </w:t>
      </w:r>
      <w:r>
        <w:t xml:space="preserve">If so, can it be turned off? If not, is the prohibition contractual?</w:t>
      </w:r>
    </w:p>
    <w:p>
      <w:pPr>
        <w:pStyle w:val="Compact"/>
        <w:numPr>
          <w:ilvl w:val="0"/>
          <w:numId w:val="1003"/>
        </w:numPr>
      </w:pPr>
      <w:r>
        <w:rPr>
          <w:b/>
          <w:bCs/>
        </w:rPr>
        <w:t xml:space="preserve">How is data secured?</w:t>
      </w:r>
      <w:r>
        <w:t xml:space="preserve"> </w:t>
      </w:r>
      <w:r>
        <w:t xml:space="preserve">Encryption in transit and at rest, access controls, audit logs, retention controls.</w:t>
      </w:r>
    </w:p>
    <w:p>
      <w:pPr>
        <w:pStyle w:val="Compact"/>
        <w:numPr>
          <w:ilvl w:val="0"/>
          <w:numId w:val="1003"/>
        </w:numPr>
      </w:pPr>
      <w:r>
        <w:rPr>
          <w:b/>
          <w:bCs/>
        </w:rPr>
        <w:t xml:space="preserve">What happens under subpoena/legal process?</w:t>
      </w:r>
      <w:r>
        <w:t xml:space="preserve"> </w:t>
      </w:r>
      <w:r>
        <w:t xml:space="preserve">Notice to customer, opportunity to object, minimum compliance obligations.</w:t>
      </w:r>
    </w:p>
    <w:p>
      <w:pPr>
        <w:pStyle w:val="FirstParagraph"/>
      </w:pPr>
      <w:r>
        <w:t xml:space="preserve">Operationally, this implements what supervision and confidentiality rules already expect when using third‑party services.²²</w:t>
      </w:r>
    </w:p>
    <w:bookmarkEnd w:id="34"/>
    <w:bookmarkStart w:id="35" w:name="Xb9d41af4d57b92651f459bc01f633d86f6b580b"/>
    <w:p>
      <w:pPr>
        <w:pStyle w:val="Heading3"/>
      </w:pPr>
      <w:r>
        <w:t xml:space="preserve">Account and configuration settings: lock down the “silent participant” risk</w:t>
      </w:r>
    </w:p>
    <w:p>
      <w:pPr>
        <w:pStyle w:val="FirstParagraph"/>
      </w:pPr>
      <w:r>
        <w:t xml:space="preserve">Treat settings as evidence. If privilege is litigated, your settings become part of the “reasonable steps” story.</w:t>
      </w:r>
    </w:p>
    <w:p>
      <w:pPr>
        <w:pStyle w:val="BodyText"/>
      </w:pPr>
      <w:r>
        <w:t xml:space="preserve">At a minimum:</w:t>
      </w:r>
    </w:p>
    <w:p>
      <w:pPr>
        <w:pStyle w:val="Compact"/>
        <w:numPr>
          <w:ilvl w:val="0"/>
          <w:numId w:val="1004"/>
        </w:numPr>
      </w:pPr>
      <w:r>
        <w:t xml:space="preserve">Disable automatic sharing defaults.</w:t>
      </w:r>
    </w:p>
    <w:p>
      <w:pPr>
        <w:pStyle w:val="Compact"/>
        <w:numPr>
          <w:ilvl w:val="0"/>
          <w:numId w:val="1004"/>
        </w:numPr>
      </w:pPr>
      <w:r>
        <w:t xml:space="preserve">Restrict sharing to inside the firm domain/workspace.</w:t>
      </w:r>
    </w:p>
    <w:p>
      <w:pPr>
        <w:pStyle w:val="Compact"/>
        <w:numPr>
          <w:ilvl w:val="0"/>
          <w:numId w:val="1004"/>
        </w:numPr>
      </w:pPr>
      <w:r>
        <w:t xml:space="preserve">Require strong authentication (preferably multi‑factor).</w:t>
      </w:r>
    </w:p>
    <w:p>
      <w:pPr>
        <w:pStyle w:val="Compact"/>
        <w:numPr>
          <w:ilvl w:val="0"/>
          <w:numId w:val="1004"/>
        </w:numPr>
      </w:pPr>
      <w:r>
        <w:t xml:space="preserve">Disable product “help improve” or “training/feedback” access paths when available.²³</w:t>
      </w:r>
    </w:p>
    <w:p>
      <w:pPr>
        <w:pStyle w:val="Compact"/>
        <w:numPr>
          <w:ilvl w:val="0"/>
          <w:numId w:val="1004"/>
        </w:numPr>
      </w:pPr>
      <w:r>
        <w:t xml:space="preserve">Prevent the notetaker from auto‑joining meetings unless the meeting is flagged as appropriate for recording.²⁴</w:t>
      </w:r>
    </w:p>
    <w:bookmarkEnd w:id="35"/>
    <w:bookmarkStart w:id="36" w:name="X2454d53a80731af53f350abe5c4cd6048ec0add"/>
    <w:p>
      <w:pPr>
        <w:pStyle w:val="Heading3"/>
      </w:pPr>
      <w:r>
        <w:t xml:space="preserve">Retention/export/delete: your best friend is a short retention window</w:t>
      </w:r>
    </w:p>
    <w:p>
      <w:pPr>
        <w:pStyle w:val="FirstParagraph"/>
      </w:pPr>
      <w:r>
        <w:t xml:space="preserve">You want transcripts to exist where they help you and nowhere else.</w:t>
      </w:r>
    </w:p>
    <w:p>
      <w:pPr>
        <w:pStyle w:val="BodyText"/>
      </w:pPr>
      <w:r>
        <w:t xml:space="preserve">A defensible retention pattern looks like this:</w:t>
      </w:r>
    </w:p>
    <w:p>
      <w:pPr>
        <w:pStyle w:val="Compact"/>
        <w:numPr>
          <w:ilvl w:val="0"/>
          <w:numId w:val="1005"/>
        </w:numPr>
      </w:pPr>
      <w:r>
        <w:t xml:space="preserve">Record/transcribe → export immediately into the firm’s document system (matter‑restricted)</w:t>
      </w:r>
    </w:p>
    <w:p>
      <w:pPr>
        <w:pStyle w:val="Compact"/>
        <w:numPr>
          <w:ilvl w:val="0"/>
          <w:numId w:val="1005"/>
        </w:numPr>
      </w:pPr>
      <w:r>
        <w:t xml:space="preserve">Mark as “Attorney‑Client Privileged / Attorney Work Product”</w:t>
      </w:r>
    </w:p>
    <w:p>
      <w:pPr>
        <w:pStyle w:val="Compact"/>
        <w:numPr>
          <w:ilvl w:val="0"/>
          <w:numId w:val="1005"/>
        </w:numPr>
      </w:pPr>
      <w:r>
        <w:t xml:space="preserve">Delete from the vendor platform (including trash) promptly</w:t>
      </w:r>
    </w:p>
    <w:p>
      <w:pPr>
        <w:pStyle w:val="Compact"/>
        <w:numPr>
          <w:ilvl w:val="0"/>
          <w:numId w:val="1005"/>
        </w:numPr>
      </w:pPr>
      <w:r>
        <w:t xml:space="preserve">Retain only as long as necessary for representation, as defined in a written retention schedule</w:t>
      </w:r>
    </w:p>
    <w:p>
      <w:pPr>
        <w:pStyle w:val="FirstParagraph"/>
      </w:pPr>
      <w:r>
        <w:t xml:space="preserve">This reduces the chance the transcript becomes sprawling ESI in future discovery fights.</w:t>
      </w:r>
    </w:p>
    <w:bookmarkEnd w:id="36"/>
    <w:bookmarkStart w:id="37" w:name="Xb587659c0d758ab045d5ea3f0777c8f47c37145"/>
    <w:p>
      <w:pPr>
        <w:pStyle w:val="Heading3"/>
      </w:pPr>
      <w:r>
        <w:t xml:space="preserve">Labeling and file hygiene: make your privilege theory match your document reality</w:t>
      </w:r>
    </w:p>
    <w:p>
      <w:pPr>
        <w:pStyle w:val="FirstParagraph"/>
      </w:pPr>
      <w:r>
        <w:t xml:space="preserve">Every transcript should carry:</w:t>
      </w:r>
    </w:p>
    <w:p>
      <w:pPr>
        <w:pStyle w:val="Compact"/>
        <w:numPr>
          <w:ilvl w:val="0"/>
          <w:numId w:val="1006"/>
        </w:numPr>
      </w:pPr>
      <w:r>
        <w:t xml:space="preserve">Matter number</w:t>
      </w:r>
    </w:p>
    <w:p>
      <w:pPr>
        <w:pStyle w:val="Compact"/>
        <w:numPr>
          <w:ilvl w:val="0"/>
          <w:numId w:val="1006"/>
        </w:numPr>
      </w:pPr>
      <w:r>
        <w:t xml:space="preserve">“Privileged &amp; Confidential” header</w:t>
      </w:r>
    </w:p>
    <w:p>
      <w:pPr>
        <w:pStyle w:val="Compact"/>
        <w:numPr>
          <w:ilvl w:val="0"/>
          <w:numId w:val="1006"/>
        </w:numPr>
      </w:pPr>
      <w:r>
        <w:t xml:space="preserve">“Prepared at direction of counsel”</w:t>
      </w:r>
    </w:p>
    <w:p>
      <w:pPr>
        <w:pStyle w:val="Compact"/>
        <w:numPr>
          <w:ilvl w:val="0"/>
          <w:numId w:val="1006"/>
        </w:numPr>
      </w:pPr>
      <w:r>
        <w:t xml:space="preserve">Access restrictions consistent with the case team</w:t>
      </w:r>
    </w:p>
    <w:p>
      <w:pPr>
        <w:pStyle w:val="FirstParagraph"/>
      </w:pPr>
      <w:r>
        <w:t xml:space="preserve">Then create a lawyer‑authored “strategy note” derived from the transcript. When you convert raw transcript into counsel judgment, your work‑product posture strengthens.</w:t>
      </w:r>
    </w:p>
    <w:bookmarkEnd w:id="37"/>
    <w:bookmarkStart w:id="38" w:name="X4045d8df972c3104be27df9c679fbbaf32b9b3f"/>
    <w:p>
      <w:pPr>
        <w:pStyle w:val="Heading3"/>
      </w:pPr>
      <w:r>
        <w:t xml:space="preserve">Litigation posture: build your record before the motion to compel arrives</w:t>
      </w:r>
    </w:p>
    <w:p>
      <w:pPr>
        <w:pStyle w:val="FirstParagraph"/>
      </w:pPr>
      <w:r>
        <w:t xml:space="preserve">If challenged, you want sworn facts that support the “necessary agent” theory and distinguish your workflow from</w:t>
      </w:r>
      <w:r>
        <w:t xml:space="preserve"> </w:t>
      </w:r>
      <w:r>
        <w:rPr>
          <w:i/>
          <w:iCs/>
        </w:rPr>
        <w:t xml:space="preserve">Heppner</w:t>
      </w:r>
      <w:r>
        <w:t xml:space="preserve">.</w:t>
      </w:r>
    </w:p>
    <w:p>
      <w:pPr>
        <w:pStyle w:val="BodyText"/>
      </w:pPr>
      <w:r>
        <w:rPr>
          <w:b/>
          <w:bCs/>
        </w:rPr>
        <w:t xml:space="preserve">Sample record facts to preserve privilege:</w:t>
      </w:r>
    </w:p>
    <w:p>
      <w:pPr>
        <w:pStyle w:val="Compact"/>
        <w:numPr>
          <w:ilvl w:val="0"/>
          <w:numId w:val="1007"/>
        </w:numPr>
      </w:pPr>
      <w:r>
        <w:t xml:space="preserve">The AI notetaker was used at counsel’s direction solely to memorialize attorney‑client communications for legal advice.</w:t>
      </w:r>
    </w:p>
    <w:p>
      <w:pPr>
        <w:pStyle w:val="Compact"/>
        <w:numPr>
          <w:ilvl w:val="0"/>
          <w:numId w:val="1007"/>
        </w:numPr>
      </w:pPr>
      <w:r>
        <w:t xml:space="preserve">The notetaker was configured so transcripts were not shared externally and were accessible only to counsel and firm staff on the matter team.</w:t>
      </w:r>
    </w:p>
    <w:p>
      <w:pPr>
        <w:pStyle w:val="Compact"/>
        <w:numPr>
          <w:ilvl w:val="0"/>
          <w:numId w:val="1007"/>
        </w:numPr>
      </w:pPr>
      <w:r>
        <w:t xml:space="preserve">The vendor was bound by confidentiality terms; vendor personnel had no routine human access to recordings/transcripts.</w:t>
      </w:r>
    </w:p>
    <w:p>
      <w:pPr>
        <w:pStyle w:val="Compact"/>
        <w:numPr>
          <w:ilvl w:val="0"/>
          <w:numId w:val="1007"/>
        </w:numPr>
      </w:pPr>
      <w:r>
        <w:t xml:space="preserve">Training/product improvement access was disabled by settings and/or prohibited by contract for client content.</w:t>
      </w:r>
    </w:p>
    <w:p>
      <w:pPr>
        <w:pStyle w:val="Compact"/>
        <w:numPr>
          <w:ilvl w:val="0"/>
          <w:numId w:val="1007"/>
        </w:numPr>
      </w:pPr>
      <w:r>
        <w:t xml:space="preserve">Transcripts were exported to firm systems and deleted from the vendor platform promptly.</w:t>
      </w:r>
    </w:p>
    <w:p>
      <w:pPr>
        <w:pStyle w:val="Compact"/>
        <w:numPr>
          <w:ilvl w:val="0"/>
          <w:numId w:val="1007"/>
        </w:numPr>
      </w:pPr>
      <w:r>
        <w:t xml:space="preserve">The client was informed and consented to this internal note‑taking method.</w:t>
      </w:r>
    </w:p>
    <w:p>
      <w:pPr>
        <w:pStyle w:val="FirstParagraph"/>
      </w:pPr>
      <w:r>
        <w:t xml:space="preserve">That is how you argue: “This is a stenographer, not a stranger.”</w:t>
      </w:r>
    </w:p>
    <w:bookmarkEnd w:id="38"/>
    <w:bookmarkEnd w:id="39"/>
    <w:bookmarkStart w:id="40" w:name="state-and-territory-survey-chart"/>
    <w:p>
      <w:pPr>
        <w:pStyle w:val="Heading2"/>
      </w:pPr>
      <w:r>
        <w:t xml:space="preserve">State and territory survey chart</w:t>
      </w:r>
    </w:p>
    <w:p>
      <w:pPr>
        <w:pStyle w:val="FirstParagraph"/>
      </w:pPr>
      <w:r>
        <w:t xml:space="preserve">This article is federal-law focused; in state court and in federal diversity cases, the applicable privilege law can be state‑specific.⁴ The chart below flags whether the jurisdiction generally tracks the federal confidentiality + waiver + necessary agent framework, or whether there are notable codification differences that warrant a “qualified” approach.</w:t>
      </w:r>
    </w:p>
    <w:p>
      <w:pPr>
        <w:pStyle w:val="BodyText"/>
      </w:pPr>
      <w:r>
        <w:rPr>
          <w:b/>
          <w:bCs/>
        </w:rPr>
        <w:t xml:space="preserve">Table: 59‑jurisdiction privilege alignment snapshot (federal comparison)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State/Territory</w:t>
            </w:r>
          </w:p>
        </w:tc>
        <w:tc>
          <w:tcPr/>
          <w:p>
            <w:pPr>
              <w:pStyle w:val="Compact"/>
            </w:pPr>
            <w:r>
              <w:t xml:space="preserve">Aligns with Federal Privilege Analysis?</w:t>
            </w:r>
          </w:p>
        </w:tc>
        <w:tc>
          <w:tcPr/>
          <w:p>
            <w:pPr>
              <w:pStyle w:val="Compact"/>
            </w:pPr>
            <w:r>
              <w:t xml:space="preserve">Key statutory/rule citation or leading case</w:t>
            </w:r>
          </w:p>
        </w:tc>
        <w:tc>
          <w:tcPr/>
          <w:p>
            <w:pPr>
              <w:pStyle w:val="Compact"/>
            </w:pPr>
            <w:r>
              <w:t xml:space="preserve">Notes on unique state rules</w:t>
            </w:r>
          </w:p>
        </w:tc>
      </w:tr>
      <w:tr>
        <w:tc>
          <w:tcPr/>
          <w:p>
            <w:pPr>
              <w:pStyle w:val="Compact"/>
            </w:pPr>
          </w:p>
        </w:tc>
        <w:tc>
          <w:tcPr/>
          <w:p>
            <w:pPr>
              <w:pStyle w:val="Compact"/>
            </w:pPr>
            <w:r>
              <w:t xml:space="preserve">Qualified</w:t>
            </w:r>
          </w:p>
        </w:tc>
        <w:tc>
          <w:tcPr/>
          <w:p>
            <w:pPr>
              <w:pStyle w:val="Compact"/>
            </w:pPr>
            <w:r>
              <w:t xml:space="preserve">Ala. R. Evid. 502</w:t>
            </w:r>
          </w:p>
        </w:tc>
        <w:tc>
          <w:tcPr/>
          <w:p>
            <w:pPr>
              <w:pStyle w:val="Compact"/>
            </w:pPr>
            <w:r>
              <w:t xml:space="preserve">Codified privilege; verify waiver/agent language.</w:t>
            </w:r>
          </w:p>
        </w:tc>
      </w:tr>
      <w:tr>
        <w:tc>
          <w:tcPr/>
          <w:p>
            <w:pPr>
              <w:pStyle w:val="Compact"/>
            </w:pPr>
          </w:p>
        </w:tc>
        <w:tc>
          <w:tcPr/>
          <w:p>
            <w:pPr>
              <w:pStyle w:val="Compact"/>
            </w:pPr>
            <w:r>
              <w:t xml:space="preserve">Qualified</w:t>
            </w:r>
          </w:p>
        </w:tc>
        <w:tc>
          <w:tcPr/>
          <w:p>
            <w:pPr>
              <w:pStyle w:val="Compact"/>
            </w:pPr>
            <w:r>
              <w:t xml:space="preserve">Alaska R. Evid. 503</w:t>
            </w:r>
          </w:p>
        </w:tc>
        <w:tc>
          <w:tcPr/>
          <w:p>
            <w:pPr>
              <w:pStyle w:val="Compact"/>
            </w:pPr>
            <w:r>
              <w:t xml:space="preserve">Codified privilege; confirm “representative of lawyer.”</w:t>
            </w:r>
          </w:p>
        </w:tc>
      </w:tr>
      <w:tr>
        <w:tc>
          <w:tcPr/>
          <w:p>
            <w:pPr>
              <w:pStyle w:val="Compact"/>
            </w:pPr>
          </w:p>
        </w:tc>
        <w:tc>
          <w:tcPr/>
          <w:p>
            <w:pPr>
              <w:pStyle w:val="Compact"/>
            </w:pPr>
            <w:r>
              <w:t xml:space="preserve">Qualified</w:t>
            </w:r>
          </w:p>
        </w:tc>
        <w:tc>
          <w:tcPr/>
          <w:p>
            <w:pPr>
              <w:pStyle w:val="Compact"/>
            </w:pPr>
            <w:r>
              <w:t xml:space="preserve">Ariz. R. Evid. 502</w:t>
            </w:r>
          </w:p>
        </w:tc>
        <w:tc>
          <w:tcPr/>
          <w:p>
            <w:pPr>
              <w:pStyle w:val="Compact"/>
            </w:pPr>
            <w:r>
              <w:t xml:space="preserve">Codified; confirm waiver provisions.</w:t>
            </w:r>
          </w:p>
        </w:tc>
      </w:tr>
      <w:tr>
        <w:tc>
          <w:tcPr/>
          <w:p>
            <w:pPr>
              <w:pStyle w:val="Compact"/>
            </w:pPr>
          </w:p>
        </w:tc>
        <w:tc>
          <w:tcPr/>
          <w:p>
            <w:pPr>
              <w:pStyle w:val="Compact"/>
            </w:pPr>
            <w:r>
              <w:t xml:space="preserve">Qualified</w:t>
            </w:r>
          </w:p>
        </w:tc>
        <w:tc>
          <w:tcPr/>
          <w:p>
            <w:pPr>
              <w:pStyle w:val="Compact"/>
            </w:pPr>
            <w:r>
              <w:t xml:space="preserve">Ark. R. Evid. 502</w:t>
            </w:r>
          </w:p>
        </w:tc>
        <w:tc>
          <w:tcPr/>
          <w:p>
            <w:pPr>
              <w:pStyle w:val="Compact"/>
            </w:pPr>
            <w:r>
              <w:t xml:space="preserve">Codified; generally tracks common elements.</w:t>
            </w:r>
          </w:p>
        </w:tc>
      </w:tr>
      <w:tr>
        <w:tc>
          <w:tcPr/>
          <w:p>
            <w:pPr>
              <w:pStyle w:val="Compact"/>
            </w:pPr>
          </w:p>
        </w:tc>
        <w:tc>
          <w:tcPr/>
          <w:p>
            <w:pPr>
              <w:pStyle w:val="Compact"/>
            </w:pPr>
            <w:r>
              <w:t xml:space="preserve">Qualified</w:t>
            </w:r>
          </w:p>
        </w:tc>
        <w:tc>
          <w:tcPr/>
          <w:p>
            <w:pPr>
              <w:pStyle w:val="Compact"/>
            </w:pPr>
            <w:r>
              <w:t xml:space="preserve">Cal. Evid. Code §§ 950–962</w:t>
            </w:r>
          </w:p>
        </w:tc>
        <w:tc>
          <w:tcPr/>
          <w:p>
            <w:pPr>
              <w:pStyle w:val="Compact"/>
            </w:pPr>
            <w:r>
              <w:t xml:space="preserve">Detailed statutory scheme; privilege/waiver mechanics are code‑driven.</w:t>
            </w:r>
          </w:p>
        </w:tc>
      </w:tr>
      <w:tr>
        <w:tc>
          <w:tcPr/>
          <w:p>
            <w:pPr>
              <w:pStyle w:val="Compact"/>
            </w:pPr>
          </w:p>
        </w:tc>
        <w:tc>
          <w:tcPr/>
          <w:p>
            <w:pPr>
              <w:pStyle w:val="Compact"/>
            </w:pPr>
            <w:r>
              <w:t xml:space="preserve">Qualified</w:t>
            </w:r>
          </w:p>
        </w:tc>
        <w:tc>
          <w:tcPr/>
          <w:p>
            <w:pPr>
              <w:pStyle w:val="Compact"/>
            </w:pPr>
            <w:r>
              <w:t xml:space="preserve">Colo. Rev. Stat. § 13‑90‑107(1)(b)</w:t>
            </w:r>
          </w:p>
        </w:tc>
        <w:tc>
          <w:tcPr/>
          <w:p>
            <w:pPr>
              <w:pStyle w:val="Compact"/>
            </w:pPr>
            <w:r>
              <w:t xml:space="preserve">Statutory privilege; confirm waiver and third‑party agent treatment.</w:t>
            </w:r>
          </w:p>
        </w:tc>
      </w:tr>
      <w:tr>
        <w:tc>
          <w:tcPr/>
          <w:p>
            <w:pPr>
              <w:pStyle w:val="Compact"/>
            </w:pPr>
          </w:p>
        </w:tc>
        <w:tc>
          <w:tcPr/>
          <w:p>
            <w:pPr>
              <w:pStyle w:val="Compact"/>
            </w:pPr>
            <w:r>
              <w:t xml:space="preserve">Qualified</w:t>
            </w:r>
          </w:p>
        </w:tc>
        <w:tc>
          <w:tcPr/>
          <w:p>
            <w:pPr>
              <w:pStyle w:val="Compact"/>
            </w:pPr>
            <w:r>
              <w:t xml:space="preserve">Conn. Code Evid. § 5‑3</w:t>
            </w:r>
          </w:p>
        </w:tc>
        <w:tc>
          <w:tcPr/>
          <w:p>
            <w:pPr>
              <w:pStyle w:val="Compact"/>
            </w:pPr>
            <w:r>
              <w:t xml:space="preserve">Codified in evidence code; check scope and exceptions.</w:t>
            </w:r>
          </w:p>
        </w:tc>
      </w:tr>
      <w:tr>
        <w:tc>
          <w:tcPr/>
          <w:p>
            <w:pPr>
              <w:pStyle w:val="Compact"/>
            </w:pPr>
          </w:p>
        </w:tc>
        <w:tc>
          <w:tcPr/>
          <w:p>
            <w:pPr>
              <w:pStyle w:val="Compact"/>
            </w:pPr>
            <w:r>
              <w:t xml:space="preserve">Qualified</w:t>
            </w:r>
          </w:p>
        </w:tc>
        <w:tc>
          <w:tcPr/>
          <w:p>
            <w:pPr>
              <w:pStyle w:val="Compact"/>
            </w:pPr>
            <w:r>
              <w:t xml:space="preserve">Del. R. Evid. 502</w:t>
            </w:r>
          </w:p>
        </w:tc>
        <w:tc>
          <w:tcPr/>
          <w:p>
            <w:pPr>
              <w:pStyle w:val="Compact"/>
            </w:pPr>
            <w:r>
              <w:t xml:space="preserve">Rule‑based privilege; confirm “representative” definitions.</w:t>
            </w:r>
          </w:p>
        </w:tc>
      </w:tr>
      <w:tr>
        <w:tc>
          <w:tcPr/>
          <w:p>
            <w:pPr>
              <w:pStyle w:val="Compact"/>
            </w:pPr>
          </w:p>
        </w:tc>
        <w:tc>
          <w:tcPr/>
          <w:p>
            <w:pPr>
              <w:pStyle w:val="Compact"/>
            </w:pPr>
            <w:r>
              <w:t xml:space="preserve">Qualified</w:t>
            </w:r>
          </w:p>
        </w:tc>
        <w:tc>
          <w:tcPr/>
          <w:p>
            <w:pPr>
              <w:pStyle w:val="Compact"/>
            </w:pPr>
            <w:r>
              <w:t xml:space="preserve">Fla. Stat. § 90.502</w:t>
            </w:r>
          </w:p>
        </w:tc>
        <w:tc>
          <w:tcPr/>
          <w:p>
            <w:pPr>
              <w:pStyle w:val="Compact"/>
            </w:pPr>
            <w:r>
              <w:t xml:space="preserve">Statutory evidence code; explicit definitions and exceptions.</w:t>
            </w:r>
          </w:p>
        </w:tc>
      </w:tr>
      <w:tr>
        <w:tc>
          <w:tcPr/>
          <w:p>
            <w:pPr>
              <w:pStyle w:val="Compact"/>
            </w:pPr>
          </w:p>
        </w:tc>
        <w:tc>
          <w:tcPr/>
          <w:p>
            <w:pPr>
              <w:pStyle w:val="Compact"/>
            </w:pPr>
            <w:r>
              <w:t xml:space="preserve">Qualified</w:t>
            </w:r>
          </w:p>
        </w:tc>
        <w:tc>
          <w:tcPr/>
          <w:p>
            <w:pPr>
              <w:pStyle w:val="Compact"/>
            </w:pPr>
            <w:r>
              <w:t xml:space="preserve">O.C.G.A. § 24‑5‑501</w:t>
            </w:r>
          </w:p>
        </w:tc>
        <w:tc>
          <w:tcPr/>
          <w:p>
            <w:pPr>
              <w:pStyle w:val="Compact"/>
            </w:pPr>
            <w:r>
              <w:t xml:space="preserve">Statutory evidence code; confirm agent extension language.</w:t>
            </w:r>
          </w:p>
        </w:tc>
      </w:tr>
      <w:tr>
        <w:tc>
          <w:tcPr/>
          <w:p>
            <w:pPr>
              <w:pStyle w:val="Compact"/>
            </w:pPr>
          </w:p>
        </w:tc>
        <w:tc>
          <w:tcPr/>
          <w:p>
            <w:pPr>
              <w:pStyle w:val="Compact"/>
            </w:pPr>
            <w:r>
              <w:t xml:space="preserve">Qualified</w:t>
            </w:r>
          </w:p>
        </w:tc>
        <w:tc>
          <w:tcPr/>
          <w:p>
            <w:pPr>
              <w:pStyle w:val="Compact"/>
            </w:pPr>
            <w:r>
              <w:t xml:space="preserve">Haw. R. Evid. 503</w:t>
            </w:r>
          </w:p>
        </w:tc>
        <w:tc>
          <w:tcPr/>
          <w:p>
            <w:pPr>
              <w:pStyle w:val="Compact"/>
            </w:pPr>
            <w:r>
              <w:t xml:space="preserve">Rule‑based; generally tracks core confidentiality elements.</w:t>
            </w:r>
          </w:p>
        </w:tc>
      </w:tr>
      <w:tr>
        <w:tc>
          <w:tcPr/>
          <w:p>
            <w:pPr>
              <w:pStyle w:val="Compact"/>
            </w:pPr>
          </w:p>
        </w:tc>
        <w:tc>
          <w:tcPr/>
          <w:p>
            <w:pPr>
              <w:pStyle w:val="Compact"/>
            </w:pPr>
            <w:r>
              <w:t xml:space="preserve">Qualified</w:t>
            </w:r>
          </w:p>
        </w:tc>
        <w:tc>
          <w:tcPr/>
          <w:p>
            <w:pPr>
              <w:pStyle w:val="Compact"/>
            </w:pPr>
            <w:r>
              <w:t xml:space="preserve">Idaho R. Evid. 502</w:t>
            </w:r>
          </w:p>
        </w:tc>
        <w:tc>
          <w:tcPr/>
          <w:p>
            <w:pPr>
              <w:pStyle w:val="Compact"/>
            </w:pPr>
            <w:r>
              <w:t xml:space="preserve">Codified privilege; verify scope and waiver.</w:t>
            </w:r>
          </w:p>
        </w:tc>
      </w:tr>
      <w:tr>
        <w:tc>
          <w:tcPr/>
          <w:p>
            <w:pPr>
              <w:pStyle w:val="Compact"/>
            </w:pPr>
          </w:p>
        </w:tc>
        <w:tc>
          <w:tcPr/>
          <w:p>
            <w:pPr>
              <w:pStyle w:val="Compact"/>
            </w:pPr>
            <w:r>
              <w:t xml:space="preserve">Qualified</w:t>
            </w:r>
          </w:p>
        </w:tc>
        <w:tc>
          <w:tcPr/>
          <w:p>
            <w:pPr>
              <w:pStyle w:val="Compact"/>
            </w:pPr>
            <w:r>
              <w:t xml:space="preserve">Ill. R. Evid. 502</w:t>
            </w:r>
          </w:p>
        </w:tc>
        <w:tc>
          <w:tcPr/>
          <w:p>
            <w:pPr>
              <w:pStyle w:val="Compact"/>
            </w:pPr>
            <w:r>
              <w:t xml:space="preserve">Codified; state‑rule text controls.</w:t>
            </w:r>
          </w:p>
        </w:tc>
      </w:tr>
      <w:tr>
        <w:tc>
          <w:tcPr/>
          <w:p>
            <w:pPr>
              <w:pStyle w:val="Compact"/>
            </w:pPr>
          </w:p>
        </w:tc>
        <w:tc>
          <w:tcPr/>
          <w:p>
            <w:pPr>
              <w:pStyle w:val="Compact"/>
            </w:pPr>
            <w:r>
              <w:t xml:space="preserve">Qualified</w:t>
            </w:r>
          </w:p>
        </w:tc>
        <w:tc>
          <w:tcPr/>
          <w:p>
            <w:pPr>
              <w:pStyle w:val="Compact"/>
            </w:pPr>
            <w:r>
              <w:t xml:space="preserve">Ind. R. Evid. 502</w:t>
            </w:r>
          </w:p>
        </w:tc>
        <w:tc>
          <w:tcPr/>
          <w:p>
            <w:pPr>
              <w:pStyle w:val="Compact"/>
            </w:pPr>
            <w:r>
              <w:t xml:space="preserve">Codified; check definitions for agents/representatives.</w:t>
            </w:r>
          </w:p>
        </w:tc>
      </w:tr>
      <w:tr>
        <w:tc>
          <w:tcPr/>
          <w:p>
            <w:pPr>
              <w:pStyle w:val="Compact"/>
            </w:pPr>
          </w:p>
        </w:tc>
        <w:tc>
          <w:tcPr/>
          <w:p>
            <w:pPr>
              <w:pStyle w:val="Compact"/>
            </w:pPr>
            <w:r>
              <w:t xml:space="preserve">Qualified</w:t>
            </w:r>
          </w:p>
        </w:tc>
        <w:tc>
          <w:tcPr/>
          <w:p>
            <w:pPr>
              <w:pStyle w:val="Compact"/>
            </w:pPr>
            <w:r>
              <w:t xml:space="preserve">Iowa R. Evid. 5.502</w:t>
            </w:r>
          </w:p>
        </w:tc>
        <w:tc>
          <w:tcPr/>
          <w:p>
            <w:pPr>
              <w:pStyle w:val="Compact"/>
            </w:pPr>
            <w:r>
              <w:t xml:space="preserve">Codified; numbering differs; confirm waiver provisions.</w:t>
            </w:r>
          </w:p>
        </w:tc>
      </w:tr>
      <w:tr>
        <w:tc>
          <w:tcPr/>
          <w:p>
            <w:pPr>
              <w:pStyle w:val="Compact"/>
            </w:pPr>
          </w:p>
        </w:tc>
        <w:tc>
          <w:tcPr/>
          <w:p>
            <w:pPr>
              <w:pStyle w:val="Compact"/>
            </w:pPr>
            <w:r>
              <w:t xml:space="preserve">Qualified</w:t>
            </w:r>
          </w:p>
        </w:tc>
        <w:tc>
          <w:tcPr/>
          <w:p>
            <w:pPr>
              <w:pStyle w:val="Compact"/>
            </w:pPr>
            <w:r>
              <w:t xml:space="preserve">Kan. Stat. Ann. § 60‑426</w:t>
            </w:r>
          </w:p>
        </w:tc>
        <w:tc>
          <w:tcPr/>
          <w:p>
            <w:pPr>
              <w:pStyle w:val="Compact"/>
            </w:pPr>
            <w:r>
              <w:t xml:space="preserve">Statutory privilege; verify exceptions and third‑party considerations.</w:t>
            </w:r>
          </w:p>
        </w:tc>
      </w:tr>
      <w:tr>
        <w:tc>
          <w:tcPr/>
          <w:p>
            <w:pPr>
              <w:pStyle w:val="Compact"/>
            </w:pPr>
          </w:p>
        </w:tc>
        <w:tc>
          <w:tcPr/>
          <w:p>
            <w:pPr>
              <w:pStyle w:val="Compact"/>
            </w:pPr>
            <w:r>
              <w:t xml:space="preserve">Qualified</w:t>
            </w:r>
          </w:p>
        </w:tc>
        <w:tc>
          <w:tcPr/>
          <w:p>
            <w:pPr>
              <w:pStyle w:val="Compact"/>
            </w:pPr>
            <w:r>
              <w:t xml:space="preserve">Ky. R. Evid. 503</w:t>
            </w:r>
          </w:p>
        </w:tc>
        <w:tc>
          <w:tcPr/>
          <w:p>
            <w:pPr>
              <w:pStyle w:val="Compact"/>
            </w:pPr>
            <w:r>
              <w:t xml:space="preserve">Rule‑based; confirm “representative of lawyer” language.</w:t>
            </w:r>
          </w:p>
        </w:tc>
      </w:tr>
      <w:tr>
        <w:tc>
          <w:tcPr/>
          <w:p>
            <w:pPr>
              <w:pStyle w:val="Compact"/>
            </w:pPr>
          </w:p>
        </w:tc>
        <w:tc>
          <w:tcPr/>
          <w:p>
            <w:pPr>
              <w:pStyle w:val="Compact"/>
            </w:pPr>
            <w:r>
              <w:t xml:space="preserve">Qualified</w:t>
            </w:r>
          </w:p>
        </w:tc>
        <w:tc>
          <w:tcPr/>
          <w:p>
            <w:pPr>
              <w:pStyle w:val="Compact"/>
            </w:pPr>
            <w:r>
              <w:t xml:space="preserve">La. Code Evid. art. 506</w:t>
            </w:r>
          </w:p>
        </w:tc>
        <w:tc>
          <w:tcPr/>
          <w:p>
            <w:pPr>
              <w:pStyle w:val="Compact"/>
            </w:pPr>
            <w:r>
              <w:t xml:space="preserve">Civil‑law influenced codification; privilege defined in code.</w:t>
            </w:r>
          </w:p>
        </w:tc>
      </w:tr>
      <w:tr>
        <w:tc>
          <w:tcPr/>
          <w:p>
            <w:pPr>
              <w:pStyle w:val="Compact"/>
            </w:pPr>
          </w:p>
        </w:tc>
        <w:tc>
          <w:tcPr/>
          <w:p>
            <w:pPr>
              <w:pStyle w:val="Compact"/>
            </w:pPr>
            <w:r>
              <w:t xml:space="preserve">Qualified</w:t>
            </w:r>
          </w:p>
        </w:tc>
        <w:tc>
          <w:tcPr/>
          <w:p>
            <w:pPr>
              <w:pStyle w:val="Compact"/>
            </w:pPr>
            <w:r>
              <w:t xml:space="preserve">Me. R. Evid. 502</w:t>
            </w:r>
          </w:p>
        </w:tc>
        <w:tc>
          <w:tcPr/>
          <w:p>
            <w:pPr>
              <w:pStyle w:val="Compact"/>
            </w:pPr>
            <w:r>
              <w:t xml:space="preserve">Rule‑based privilege; confirm scope/waiver mechanics.</w:t>
            </w:r>
          </w:p>
        </w:tc>
      </w:tr>
      <w:tr>
        <w:tc>
          <w:tcPr/>
          <w:p>
            <w:pPr>
              <w:pStyle w:val="Compact"/>
            </w:pPr>
          </w:p>
        </w:tc>
        <w:tc>
          <w:tcPr/>
          <w:p>
            <w:pPr>
              <w:pStyle w:val="Compact"/>
            </w:pPr>
            <w:r>
              <w:t xml:space="preserve">Qualified</w:t>
            </w:r>
          </w:p>
        </w:tc>
        <w:tc>
          <w:tcPr/>
          <w:p>
            <w:pPr>
              <w:pStyle w:val="Compact"/>
            </w:pPr>
            <w:r>
              <w:t xml:space="preserve">Md. Rule 5‑503</w:t>
            </w:r>
          </w:p>
        </w:tc>
        <w:tc>
          <w:tcPr/>
          <w:p>
            <w:pPr>
              <w:pStyle w:val="Compact"/>
            </w:pPr>
            <w:r>
              <w:t xml:space="preserve">Rule‑based; confirm representative language.</w:t>
            </w:r>
          </w:p>
        </w:tc>
      </w:tr>
      <w:tr>
        <w:tc>
          <w:tcPr/>
          <w:p>
            <w:pPr>
              <w:pStyle w:val="Compact"/>
            </w:pPr>
          </w:p>
        </w:tc>
        <w:tc>
          <w:tcPr/>
          <w:p>
            <w:pPr>
              <w:pStyle w:val="Compact"/>
            </w:pPr>
            <w:r>
              <w:t xml:space="preserve">Qualified</w:t>
            </w:r>
          </w:p>
        </w:tc>
        <w:tc>
          <w:tcPr/>
          <w:p>
            <w:pPr>
              <w:pStyle w:val="Compact"/>
            </w:pPr>
            <w:r>
              <w:t xml:space="preserve">Mass. Guide to Evid. § 502</w:t>
            </w:r>
          </w:p>
        </w:tc>
        <w:tc>
          <w:tcPr/>
          <w:p>
            <w:pPr>
              <w:pStyle w:val="Compact"/>
            </w:pPr>
            <w:r>
              <w:t xml:space="preserve">Guide reflects Massachusetts practice; check controlling law and cases.</w:t>
            </w:r>
          </w:p>
        </w:tc>
      </w:tr>
      <w:tr>
        <w:tc>
          <w:tcPr/>
          <w:p>
            <w:pPr>
              <w:pStyle w:val="Compact"/>
            </w:pPr>
          </w:p>
        </w:tc>
        <w:tc>
          <w:tcPr/>
          <w:p>
            <w:pPr>
              <w:pStyle w:val="Compact"/>
            </w:pPr>
            <w:r>
              <w:t xml:space="preserve">Qualified</w:t>
            </w:r>
          </w:p>
        </w:tc>
        <w:tc>
          <w:tcPr/>
          <w:p>
            <w:pPr>
              <w:pStyle w:val="Compact"/>
            </w:pPr>
            <w:r>
              <w:t xml:space="preserve">Mich. R. Evid. 501;</w:t>
            </w:r>
            <w:r>
              <w:t xml:space="preserve"> </w:t>
            </w:r>
            <w:r>
              <w:rPr>
                <w:i/>
                <w:iCs/>
              </w:rPr>
              <w:t xml:space="preserve">People v. Nash</w:t>
            </w:r>
            <w:r>
              <w:t xml:space="preserve">, 418 Mich. 196 (1983)</w:t>
            </w:r>
          </w:p>
        </w:tc>
        <w:tc>
          <w:tcPr/>
          <w:p>
            <w:pPr>
              <w:pStyle w:val="Compact"/>
            </w:pPr>
            <w:r>
              <w:t xml:space="preserve">Privilege is strongly case‑driven; treat as “qualified.”</w:t>
            </w:r>
          </w:p>
        </w:tc>
      </w:tr>
      <w:tr>
        <w:tc>
          <w:tcPr/>
          <w:p>
            <w:pPr>
              <w:pStyle w:val="Compact"/>
            </w:pPr>
          </w:p>
        </w:tc>
        <w:tc>
          <w:tcPr/>
          <w:p>
            <w:pPr>
              <w:pStyle w:val="Compact"/>
            </w:pPr>
            <w:r>
              <w:t xml:space="preserve">Qualified</w:t>
            </w:r>
          </w:p>
        </w:tc>
        <w:tc>
          <w:tcPr/>
          <w:p>
            <w:pPr>
              <w:pStyle w:val="Compact"/>
            </w:pPr>
            <w:r>
              <w:t xml:space="preserve">Minn. R. Evid. 502</w:t>
            </w:r>
          </w:p>
        </w:tc>
        <w:tc>
          <w:tcPr/>
          <w:p>
            <w:pPr>
              <w:pStyle w:val="Compact"/>
            </w:pPr>
            <w:r>
              <w:t xml:space="preserve">Codified; verify scope and agent inclusion.</w:t>
            </w:r>
          </w:p>
        </w:tc>
      </w:tr>
      <w:tr>
        <w:tc>
          <w:tcPr/>
          <w:p>
            <w:pPr>
              <w:pStyle w:val="Compact"/>
            </w:pPr>
          </w:p>
        </w:tc>
        <w:tc>
          <w:tcPr/>
          <w:p>
            <w:pPr>
              <w:pStyle w:val="Compact"/>
            </w:pPr>
            <w:r>
              <w:t xml:space="preserve">Qualified</w:t>
            </w:r>
          </w:p>
        </w:tc>
        <w:tc>
          <w:tcPr/>
          <w:p>
            <w:pPr>
              <w:pStyle w:val="Compact"/>
            </w:pPr>
            <w:r>
              <w:t xml:space="preserve">Miss. R. Evid. 502</w:t>
            </w:r>
          </w:p>
        </w:tc>
        <w:tc>
          <w:tcPr/>
          <w:p>
            <w:pPr>
              <w:pStyle w:val="Compact"/>
            </w:pPr>
            <w:r>
              <w:t xml:space="preserve">Rule‑based; check waiver provisions.</w:t>
            </w:r>
          </w:p>
        </w:tc>
      </w:tr>
      <w:tr>
        <w:tc>
          <w:tcPr/>
          <w:p>
            <w:pPr>
              <w:pStyle w:val="Compact"/>
            </w:pPr>
          </w:p>
        </w:tc>
        <w:tc>
          <w:tcPr/>
          <w:p>
            <w:pPr>
              <w:pStyle w:val="Compact"/>
            </w:pPr>
            <w:r>
              <w:t xml:space="preserve">Qualified</w:t>
            </w:r>
          </w:p>
        </w:tc>
        <w:tc>
          <w:tcPr/>
          <w:p>
            <w:pPr>
              <w:pStyle w:val="Compact"/>
            </w:pPr>
            <w:r>
              <w:t xml:space="preserve">Mo. Rev. Stat. § 491.060(3)</w:t>
            </w:r>
          </w:p>
        </w:tc>
        <w:tc>
          <w:tcPr/>
          <w:p>
            <w:pPr>
              <w:pStyle w:val="Compact"/>
            </w:pPr>
            <w:r>
              <w:t xml:space="preserve">Statutory approach; confirm modern privilege text.</w:t>
            </w:r>
          </w:p>
        </w:tc>
      </w:tr>
      <w:tr>
        <w:tc>
          <w:tcPr/>
          <w:p>
            <w:pPr>
              <w:pStyle w:val="Compact"/>
            </w:pPr>
          </w:p>
        </w:tc>
        <w:tc>
          <w:tcPr/>
          <w:p>
            <w:pPr>
              <w:pStyle w:val="Compact"/>
            </w:pPr>
            <w:r>
              <w:t xml:space="preserve">Qualified</w:t>
            </w:r>
          </w:p>
        </w:tc>
        <w:tc>
          <w:tcPr/>
          <w:p>
            <w:pPr>
              <w:pStyle w:val="Compact"/>
            </w:pPr>
            <w:r>
              <w:t xml:space="preserve">Mont. R. Evid. 503</w:t>
            </w:r>
          </w:p>
        </w:tc>
        <w:tc>
          <w:tcPr/>
          <w:p>
            <w:pPr>
              <w:pStyle w:val="Compact"/>
            </w:pPr>
            <w:r>
              <w:t xml:space="preserve">Rule‑based privilege; confirm waiver/agent language.</w:t>
            </w:r>
          </w:p>
        </w:tc>
      </w:tr>
      <w:tr>
        <w:tc>
          <w:tcPr/>
          <w:p>
            <w:pPr>
              <w:pStyle w:val="Compact"/>
            </w:pPr>
          </w:p>
        </w:tc>
        <w:tc>
          <w:tcPr/>
          <w:p>
            <w:pPr>
              <w:pStyle w:val="Compact"/>
            </w:pPr>
            <w:r>
              <w:t xml:space="preserve">Qualified</w:t>
            </w:r>
          </w:p>
        </w:tc>
        <w:tc>
          <w:tcPr/>
          <w:p>
            <w:pPr>
              <w:pStyle w:val="Compact"/>
            </w:pPr>
            <w:r>
              <w:t xml:space="preserve">Neb. Rev. Stat. § 27‑503</w:t>
            </w:r>
          </w:p>
        </w:tc>
        <w:tc>
          <w:tcPr/>
          <w:p>
            <w:pPr>
              <w:pStyle w:val="Compact"/>
            </w:pPr>
            <w:r>
              <w:t xml:space="preserve">Statutory evidence rule; confirm scope/representatives.</w:t>
            </w:r>
          </w:p>
        </w:tc>
      </w:tr>
      <w:tr>
        <w:tc>
          <w:tcPr/>
          <w:p>
            <w:pPr>
              <w:pStyle w:val="Compact"/>
            </w:pPr>
          </w:p>
        </w:tc>
        <w:tc>
          <w:tcPr/>
          <w:p>
            <w:pPr>
              <w:pStyle w:val="Compact"/>
            </w:pPr>
            <w:r>
              <w:t xml:space="preserve">Qualified</w:t>
            </w:r>
          </w:p>
        </w:tc>
        <w:tc>
          <w:tcPr/>
          <w:p>
            <w:pPr>
              <w:pStyle w:val="Compact"/>
            </w:pPr>
            <w:r>
              <w:t xml:space="preserve">Nev. Rev. Stat. §§ 49.035–49.115</w:t>
            </w:r>
          </w:p>
        </w:tc>
        <w:tc>
          <w:tcPr/>
          <w:p>
            <w:pPr>
              <w:pStyle w:val="Compact"/>
            </w:pPr>
            <w:r>
              <w:t xml:space="preserve">Statutory scheme; check waiver and disclosure rules.</w:t>
            </w:r>
          </w:p>
        </w:tc>
      </w:tr>
      <w:tr>
        <w:tc>
          <w:tcPr/>
          <w:p>
            <w:pPr>
              <w:pStyle w:val="Compact"/>
            </w:pPr>
          </w:p>
        </w:tc>
        <w:tc>
          <w:tcPr/>
          <w:p>
            <w:pPr>
              <w:pStyle w:val="Compact"/>
            </w:pPr>
            <w:r>
              <w:t xml:space="preserve">Qualified</w:t>
            </w:r>
          </w:p>
        </w:tc>
        <w:tc>
          <w:tcPr/>
          <w:p>
            <w:pPr>
              <w:pStyle w:val="Compact"/>
            </w:pPr>
            <w:r>
              <w:t xml:space="preserve">N.H. R. Evid. 502</w:t>
            </w:r>
          </w:p>
        </w:tc>
        <w:tc>
          <w:tcPr/>
          <w:p>
            <w:pPr>
              <w:pStyle w:val="Compact"/>
            </w:pPr>
            <w:r>
              <w:t xml:space="preserve">Rule‑based; confirm details and modern amendments.</w:t>
            </w:r>
          </w:p>
        </w:tc>
      </w:tr>
      <w:tr>
        <w:tc>
          <w:tcPr/>
          <w:p>
            <w:pPr>
              <w:pStyle w:val="Compact"/>
            </w:pPr>
          </w:p>
        </w:tc>
        <w:tc>
          <w:tcPr/>
          <w:p>
            <w:pPr>
              <w:pStyle w:val="Compact"/>
            </w:pPr>
            <w:r>
              <w:t xml:space="preserve">Qualified</w:t>
            </w:r>
          </w:p>
        </w:tc>
        <w:tc>
          <w:tcPr/>
          <w:p>
            <w:pPr>
              <w:pStyle w:val="Compact"/>
            </w:pPr>
            <w:r>
              <w:t xml:space="preserve">N.J. R. Evid. 504</w:t>
            </w:r>
          </w:p>
        </w:tc>
        <w:tc>
          <w:tcPr/>
          <w:p>
            <w:pPr>
              <w:pStyle w:val="Compact"/>
            </w:pPr>
            <w:r>
              <w:t xml:space="preserve">Rule‑based privilege; state‑specific exceptions may apply.</w:t>
            </w:r>
          </w:p>
        </w:tc>
      </w:tr>
      <w:tr>
        <w:tc>
          <w:tcPr/>
          <w:p>
            <w:pPr>
              <w:pStyle w:val="Compact"/>
            </w:pPr>
          </w:p>
        </w:tc>
        <w:tc>
          <w:tcPr/>
          <w:p>
            <w:pPr>
              <w:pStyle w:val="Compact"/>
            </w:pPr>
            <w:r>
              <w:t xml:space="preserve">Qualified</w:t>
            </w:r>
          </w:p>
        </w:tc>
        <w:tc>
          <w:tcPr/>
          <w:p>
            <w:pPr>
              <w:pStyle w:val="Compact"/>
            </w:pPr>
            <w:r>
              <w:t xml:space="preserve">N.M. R. Evid. 11‑503</w:t>
            </w:r>
          </w:p>
        </w:tc>
        <w:tc>
          <w:tcPr/>
          <w:p>
            <w:pPr>
              <w:pStyle w:val="Compact"/>
            </w:pPr>
            <w:r>
              <w:t xml:space="preserve">Rule‑based; confirm representative definitions.</w:t>
            </w:r>
          </w:p>
        </w:tc>
      </w:tr>
      <w:tr>
        <w:tc>
          <w:tcPr/>
          <w:p>
            <w:pPr>
              <w:pStyle w:val="Compact"/>
            </w:pPr>
          </w:p>
        </w:tc>
        <w:tc>
          <w:tcPr/>
          <w:p>
            <w:pPr>
              <w:pStyle w:val="Compact"/>
            </w:pPr>
            <w:r>
              <w:t xml:space="preserve">Qualified</w:t>
            </w:r>
          </w:p>
        </w:tc>
        <w:tc>
          <w:tcPr/>
          <w:p>
            <w:pPr>
              <w:pStyle w:val="Compact"/>
            </w:pPr>
            <w:r>
              <w:t xml:space="preserve">N.Y. C.P.L.R. 4503</w:t>
            </w:r>
          </w:p>
        </w:tc>
        <w:tc>
          <w:tcPr/>
          <w:p>
            <w:pPr>
              <w:pStyle w:val="Compact"/>
            </w:pPr>
            <w:r>
              <w:t xml:space="preserve">Statutory privilege; state case law shapes waiver.</w:t>
            </w:r>
          </w:p>
        </w:tc>
      </w:tr>
      <w:tr>
        <w:tc>
          <w:tcPr/>
          <w:p>
            <w:pPr>
              <w:pStyle w:val="Compact"/>
            </w:pPr>
          </w:p>
        </w:tc>
        <w:tc>
          <w:tcPr/>
          <w:p>
            <w:pPr>
              <w:pStyle w:val="Compact"/>
            </w:pPr>
            <w:r>
              <w:t xml:space="preserve">Qualified</w:t>
            </w:r>
          </w:p>
        </w:tc>
        <w:tc>
          <w:tcPr/>
          <w:p>
            <w:pPr>
              <w:pStyle w:val="Compact"/>
            </w:pPr>
            <w:r>
              <w:t xml:space="preserve">N.C. Gen. Stat. § 8‑53.3</w:t>
            </w:r>
          </w:p>
        </w:tc>
        <w:tc>
          <w:tcPr/>
          <w:p>
            <w:pPr>
              <w:pStyle w:val="Compact"/>
            </w:pPr>
            <w:r>
              <w:t xml:space="preserve">Statutory codification; check scope and waiver detail.</w:t>
            </w:r>
          </w:p>
        </w:tc>
      </w:tr>
      <w:tr>
        <w:tc>
          <w:tcPr/>
          <w:p>
            <w:pPr>
              <w:pStyle w:val="Compact"/>
            </w:pPr>
          </w:p>
        </w:tc>
        <w:tc>
          <w:tcPr/>
          <w:p>
            <w:pPr>
              <w:pStyle w:val="Compact"/>
            </w:pPr>
            <w:r>
              <w:t xml:space="preserve">Qualified</w:t>
            </w:r>
          </w:p>
        </w:tc>
        <w:tc>
          <w:tcPr/>
          <w:p>
            <w:pPr>
              <w:pStyle w:val="Compact"/>
            </w:pPr>
            <w:r>
              <w:t xml:space="preserve">N.D. R. Evid. 502</w:t>
            </w:r>
          </w:p>
        </w:tc>
        <w:tc>
          <w:tcPr/>
          <w:p>
            <w:pPr>
              <w:pStyle w:val="Compact"/>
            </w:pPr>
            <w:r>
              <w:t xml:space="preserve">Rule‑based; verify agent inclusion.</w:t>
            </w:r>
          </w:p>
        </w:tc>
      </w:tr>
      <w:tr>
        <w:tc>
          <w:tcPr/>
          <w:p>
            <w:pPr>
              <w:pStyle w:val="Compact"/>
            </w:pPr>
          </w:p>
        </w:tc>
        <w:tc>
          <w:tcPr/>
          <w:p>
            <w:pPr>
              <w:pStyle w:val="Compact"/>
            </w:pPr>
            <w:r>
              <w:t xml:space="preserve">Qualified</w:t>
            </w:r>
          </w:p>
        </w:tc>
        <w:tc>
          <w:tcPr/>
          <w:p>
            <w:pPr>
              <w:pStyle w:val="Compact"/>
            </w:pPr>
            <w:r>
              <w:t xml:space="preserve">Okla. Stat. tit. 12, § 2502</w:t>
            </w:r>
          </w:p>
        </w:tc>
        <w:tc>
          <w:tcPr/>
          <w:p>
            <w:pPr>
              <w:pStyle w:val="Compact"/>
            </w:pPr>
            <w:r>
              <w:t xml:space="preserve">Statutory evidence code; explicit definitions.</w:t>
            </w:r>
          </w:p>
        </w:tc>
      </w:tr>
      <w:tr>
        <w:tc>
          <w:tcPr/>
          <w:p>
            <w:pPr>
              <w:pStyle w:val="Compact"/>
            </w:pPr>
          </w:p>
        </w:tc>
        <w:tc>
          <w:tcPr/>
          <w:p>
            <w:pPr>
              <w:pStyle w:val="Compact"/>
            </w:pPr>
            <w:r>
              <w:t xml:space="preserve">Qualified</w:t>
            </w:r>
          </w:p>
        </w:tc>
        <w:tc>
          <w:tcPr/>
          <w:p>
            <w:pPr>
              <w:pStyle w:val="Compact"/>
            </w:pPr>
            <w:r>
              <w:t xml:space="preserve">Ohio Rev. Code § 2317.02(A)</w:t>
            </w:r>
          </w:p>
        </w:tc>
        <w:tc>
          <w:tcPr/>
          <w:p>
            <w:pPr>
              <w:pStyle w:val="Compact"/>
            </w:pPr>
            <w:r>
              <w:t xml:space="preserve">Privilege is statute‑anchored; waiver language can be explicit.</w:t>
            </w:r>
          </w:p>
        </w:tc>
      </w:tr>
      <w:tr>
        <w:tc>
          <w:tcPr/>
          <w:p>
            <w:pPr>
              <w:pStyle w:val="Compact"/>
            </w:pPr>
          </w:p>
        </w:tc>
        <w:tc>
          <w:tcPr/>
          <w:p>
            <w:pPr>
              <w:pStyle w:val="Compact"/>
            </w:pPr>
            <w:r>
              <w:t xml:space="preserve">Qualified</w:t>
            </w:r>
          </w:p>
        </w:tc>
        <w:tc>
          <w:tcPr/>
          <w:p>
            <w:pPr>
              <w:pStyle w:val="Compact"/>
            </w:pPr>
            <w:r>
              <w:t xml:space="preserve">Or. Evid. Code 503</w:t>
            </w:r>
          </w:p>
        </w:tc>
        <w:tc>
          <w:tcPr/>
          <w:p>
            <w:pPr>
              <w:pStyle w:val="Compact"/>
            </w:pPr>
            <w:r>
              <w:t xml:space="preserve">Codified; confirm waiver rules.</w:t>
            </w:r>
          </w:p>
        </w:tc>
      </w:tr>
      <w:tr>
        <w:tc>
          <w:tcPr/>
          <w:p>
            <w:pPr>
              <w:pStyle w:val="Compact"/>
            </w:pPr>
          </w:p>
        </w:tc>
        <w:tc>
          <w:tcPr/>
          <w:p>
            <w:pPr>
              <w:pStyle w:val="Compact"/>
            </w:pPr>
            <w:r>
              <w:t xml:space="preserve">Qualified</w:t>
            </w:r>
          </w:p>
        </w:tc>
        <w:tc>
          <w:tcPr/>
          <w:p>
            <w:pPr>
              <w:pStyle w:val="Compact"/>
            </w:pPr>
            <w:r>
              <w:t xml:space="preserve">42 Pa. Cons. Stat. § 5928</w:t>
            </w:r>
          </w:p>
        </w:tc>
        <w:tc>
          <w:tcPr/>
          <w:p>
            <w:pPr>
              <w:pStyle w:val="Compact"/>
            </w:pPr>
            <w:r>
              <w:t xml:space="preserve">Statutory privilege; waiver analysis can be case‑driven.</w:t>
            </w:r>
          </w:p>
        </w:tc>
      </w:tr>
      <w:tr>
        <w:tc>
          <w:tcPr/>
          <w:p>
            <w:pPr>
              <w:pStyle w:val="Compact"/>
            </w:pPr>
          </w:p>
        </w:tc>
        <w:tc>
          <w:tcPr/>
          <w:p>
            <w:pPr>
              <w:pStyle w:val="Compact"/>
            </w:pPr>
            <w:r>
              <w:t xml:space="preserve">Qualified</w:t>
            </w:r>
          </w:p>
        </w:tc>
        <w:tc>
          <w:tcPr/>
          <w:p>
            <w:pPr>
              <w:pStyle w:val="Compact"/>
            </w:pPr>
            <w:r>
              <w:t xml:space="preserve">R.I. R. Evid. 502</w:t>
            </w:r>
          </w:p>
        </w:tc>
        <w:tc>
          <w:tcPr/>
          <w:p>
            <w:pPr>
              <w:pStyle w:val="Compact"/>
            </w:pPr>
            <w:r>
              <w:t xml:space="preserve">Rule‑based; confirm scope and agent language.</w:t>
            </w:r>
          </w:p>
        </w:tc>
      </w:tr>
      <w:tr>
        <w:tc>
          <w:tcPr/>
          <w:p>
            <w:pPr>
              <w:pStyle w:val="Compact"/>
            </w:pPr>
          </w:p>
        </w:tc>
        <w:tc>
          <w:tcPr/>
          <w:p>
            <w:pPr>
              <w:pStyle w:val="Compact"/>
            </w:pPr>
            <w:r>
              <w:t xml:space="preserve">Qualified</w:t>
            </w:r>
          </w:p>
        </w:tc>
        <w:tc>
          <w:tcPr/>
          <w:p>
            <w:pPr>
              <w:pStyle w:val="Compact"/>
            </w:pPr>
            <w:r>
              <w:t xml:space="preserve">S.C. R. Evid. 502</w:t>
            </w:r>
          </w:p>
        </w:tc>
        <w:tc>
          <w:tcPr/>
          <w:p>
            <w:pPr>
              <w:pStyle w:val="Compact"/>
            </w:pPr>
            <w:r>
              <w:t xml:space="preserve">Rule‑based; generally tracks confidentiality approach.</w:t>
            </w:r>
          </w:p>
        </w:tc>
      </w:tr>
      <w:tr>
        <w:tc>
          <w:tcPr/>
          <w:p>
            <w:pPr>
              <w:pStyle w:val="Compact"/>
            </w:pPr>
          </w:p>
        </w:tc>
        <w:tc>
          <w:tcPr/>
          <w:p>
            <w:pPr>
              <w:pStyle w:val="Compact"/>
            </w:pPr>
            <w:r>
              <w:t xml:space="preserve">Qualified</w:t>
            </w:r>
          </w:p>
        </w:tc>
        <w:tc>
          <w:tcPr/>
          <w:p>
            <w:pPr>
              <w:pStyle w:val="Compact"/>
            </w:pPr>
            <w:r>
              <w:t xml:space="preserve">S.D. Codified Laws § 19‑19‑502</w:t>
            </w:r>
          </w:p>
        </w:tc>
        <w:tc>
          <w:tcPr/>
          <w:p>
            <w:pPr>
              <w:pStyle w:val="Compact"/>
            </w:pPr>
            <w:r>
              <w:t xml:space="preserve">Codified; confirm waiver/representative provisions.</w:t>
            </w:r>
          </w:p>
        </w:tc>
      </w:tr>
      <w:tr>
        <w:tc>
          <w:tcPr/>
          <w:p>
            <w:pPr>
              <w:pStyle w:val="Compact"/>
            </w:pPr>
          </w:p>
        </w:tc>
        <w:tc>
          <w:tcPr/>
          <w:p>
            <w:pPr>
              <w:pStyle w:val="Compact"/>
            </w:pPr>
            <w:r>
              <w:t xml:space="preserve">Qualified</w:t>
            </w:r>
          </w:p>
        </w:tc>
        <w:tc>
          <w:tcPr/>
          <w:p>
            <w:pPr>
              <w:pStyle w:val="Compact"/>
            </w:pPr>
            <w:r>
              <w:t xml:space="preserve">Tenn. Code Ann. § 23‑3‑105</w:t>
            </w:r>
          </w:p>
        </w:tc>
        <w:tc>
          <w:tcPr/>
          <w:p>
            <w:pPr>
              <w:pStyle w:val="Compact"/>
            </w:pPr>
            <w:r>
              <w:t xml:space="preserve">Statutory privilege for attorney communications.</w:t>
            </w:r>
          </w:p>
        </w:tc>
      </w:tr>
      <w:tr>
        <w:tc>
          <w:tcPr/>
          <w:p>
            <w:pPr>
              <w:pStyle w:val="Compact"/>
            </w:pPr>
          </w:p>
        </w:tc>
        <w:tc>
          <w:tcPr/>
          <w:p>
            <w:pPr>
              <w:pStyle w:val="Compact"/>
            </w:pPr>
            <w:r>
              <w:t xml:space="preserve">Qualified</w:t>
            </w:r>
          </w:p>
        </w:tc>
        <w:tc>
          <w:tcPr/>
          <w:p>
            <w:pPr>
              <w:pStyle w:val="Compact"/>
            </w:pPr>
            <w:r>
              <w:t xml:space="preserve">Tex. R. Evid. 503</w:t>
            </w:r>
          </w:p>
        </w:tc>
        <w:tc>
          <w:tcPr/>
          <w:p>
            <w:pPr>
              <w:pStyle w:val="Compact"/>
            </w:pPr>
            <w:r>
              <w:t xml:space="preserve">Detailed codification; explicit representative definitions.</w:t>
            </w:r>
          </w:p>
        </w:tc>
      </w:tr>
      <w:tr>
        <w:tc>
          <w:tcPr/>
          <w:p>
            <w:pPr>
              <w:pStyle w:val="Compact"/>
            </w:pPr>
          </w:p>
        </w:tc>
        <w:tc>
          <w:tcPr/>
          <w:p>
            <w:pPr>
              <w:pStyle w:val="Compact"/>
            </w:pPr>
            <w:r>
              <w:t xml:space="preserve">Qualified</w:t>
            </w:r>
          </w:p>
        </w:tc>
        <w:tc>
          <w:tcPr/>
          <w:p>
            <w:pPr>
              <w:pStyle w:val="Compact"/>
            </w:pPr>
            <w:r>
              <w:t xml:space="preserve">Utah R. Evid. 504</w:t>
            </w:r>
          </w:p>
        </w:tc>
        <w:tc>
          <w:tcPr/>
          <w:p>
            <w:pPr>
              <w:pStyle w:val="Compact"/>
            </w:pPr>
            <w:r>
              <w:t xml:space="preserve">Rule‑based; confirm scope and waiver.</w:t>
            </w:r>
          </w:p>
        </w:tc>
      </w:tr>
      <w:tr>
        <w:tc>
          <w:tcPr/>
          <w:p>
            <w:pPr>
              <w:pStyle w:val="Compact"/>
            </w:pPr>
          </w:p>
        </w:tc>
        <w:tc>
          <w:tcPr/>
          <w:p>
            <w:pPr>
              <w:pStyle w:val="Compact"/>
            </w:pPr>
            <w:r>
              <w:t xml:space="preserve">Qualified</w:t>
            </w:r>
          </w:p>
        </w:tc>
        <w:tc>
          <w:tcPr/>
          <w:p>
            <w:pPr>
              <w:pStyle w:val="Compact"/>
            </w:pPr>
            <w:r>
              <w:t xml:space="preserve">Vt. R. Evid. 502</w:t>
            </w:r>
          </w:p>
        </w:tc>
        <w:tc>
          <w:tcPr/>
          <w:p>
            <w:pPr>
              <w:pStyle w:val="Compact"/>
            </w:pPr>
            <w:r>
              <w:t xml:space="preserve">Rule‑based; confirm details.</w:t>
            </w:r>
          </w:p>
        </w:tc>
      </w:tr>
      <w:tr>
        <w:tc>
          <w:tcPr/>
          <w:p>
            <w:pPr>
              <w:pStyle w:val="Compact"/>
            </w:pPr>
          </w:p>
        </w:tc>
        <w:tc>
          <w:tcPr/>
          <w:p>
            <w:pPr>
              <w:pStyle w:val="Compact"/>
            </w:pPr>
            <w:r>
              <w:t xml:space="preserve">Qualified</w:t>
            </w:r>
          </w:p>
        </w:tc>
        <w:tc>
          <w:tcPr/>
          <w:p>
            <w:pPr>
              <w:pStyle w:val="Compact"/>
            </w:pPr>
            <w:r>
              <w:t xml:space="preserve">Va. Code Ann. § 8.01‑398</w:t>
            </w:r>
          </w:p>
        </w:tc>
        <w:tc>
          <w:tcPr/>
          <w:p>
            <w:pPr>
              <w:pStyle w:val="Compact"/>
            </w:pPr>
            <w:r>
              <w:t xml:space="preserve">Statutory privilege; confirm waiver language.</w:t>
            </w:r>
          </w:p>
        </w:tc>
      </w:tr>
      <w:tr>
        <w:tc>
          <w:tcPr/>
          <w:p>
            <w:pPr>
              <w:pStyle w:val="Compact"/>
            </w:pPr>
          </w:p>
        </w:tc>
        <w:tc>
          <w:tcPr/>
          <w:p>
            <w:pPr>
              <w:pStyle w:val="Compact"/>
            </w:pPr>
            <w:r>
              <w:t xml:space="preserve">Qualified</w:t>
            </w:r>
          </w:p>
        </w:tc>
        <w:tc>
          <w:tcPr/>
          <w:p>
            <w:pPr>
              <w:pStyle w:val="Compact"/>
            </w:pPr>
            <w:r>
              <w:t xml:space="preserve">Wash. Rev. Code § 5.60.060(2)(a)</w:t>
            </w:r>
          </w:p>
        </w:tc>
        <w:tc>
          <w:tcPr/>
          <w:p>
            <w:pPr>
              <w:pStyle w:val="Compact"/>
            </w:pPr>
            <w:r>
              <w:t xml:space="preserve">Statutory privilege; case law governs application.</w:t>
            </w:r>
          </w:p>
        </w:tc>
      </w:tr>
      <w:tr>
        <w:tc>
          <w:tcPr/>
          <w:p>
            <w:pPr>
              <w:pStyle w:val="Compact"/>
            </w:pPr>
          </w:p>
        </w:tc>
        <w:tc>
          <w:tcPr/>
          <w:p>
            <w:pPr>
              <w:pStyle w:val="Compact"/>
            </w:pPr>
            <w:r>
              <w:t xml:space="preserve">Qualified</w:t>
            </w:r>
          </w:p>
        </w:tc>
        <w:tc>
          <w:tcPr/>
          <w:p>
            <w:pPr>
              <w:pStyle w:val="Compact"/>
            </w:pPr>
            <w:r>
              <w:t xml:space="preserve">W. Va. R. Evid. 502</w:t>
            </w:r>
          </w:p>
        </w:tc>
        <w:tc>
          <w:tcPr/>
          <w:p>
            <w:pPr>
              <w:pStyle w:val="Compact"/>
            </w:pPr>
            <w:r>
              <w:t xml:space="preserve">Rule‑based; confirm representative and waiver rules.</w:t>
            </w:r>
          </w:p>
        </w:tc>
      </w:tr>
      <w:tr>
        <w:tc>
          <w:tcPr/>
          <w:p>
            <w:pPr>
              <w:pStyle w:val="Compact"/>
            </w:pPr>
          </w:p>
        </w:tc>
        <w:tc>
          <w:tcPr/>
          <w:p>
            <w:pPr>
              <w:pStyle w:val="Compact"/>
            </w:pPr>
            <w:r>
              <w:t xml:space="preserve">Qualified</w:t>
            </w:r>
          </w:p>
        </w:tc>
        <w:tc>
          <w:tcPr/>
          <w:p>
            <w:pPr>
              <w:pStyle w:val="Compact"/>
            </w:pPr>
            <w:r>
              <w:t xml:space="preserve">Wis. Stat. § 905.03</w:t>
            </w:r>
          </w:p>
        </w:tc>
        <w:tc>
          <w:tcPr/>
          <w:p>
            <w:pPr>
              <w:pStyle w:val="Compact"/>
            </w:pPr>
            <w:r>
              <w:t xml:space="preserve">Statutory evidence code; explicit privilege provision.</w:t>
            </w:r>
          </w:p>
        </w:tc>
      </w:tr>
      <w:tr>
        <w:tc>
          <w:tcPr/>
          <w:p>
            <w:pPr>
              <w:pStyle w:val="Compact"/>
            </w:pPr>
          </w:p>
        </w:tc>
        <w:tc>
          <w:tcPr/>
          <w:p>
            <w:pPr>
              <w:pStyle w:val="Compact"/>
            </w:pPr>
            <w:r>
              <w:t xml:space="preserve">Qualified</w:t>
            </w:r>
          </w:p>
        </w:tc>
        <w:tc>
          <w:tcPr/>
          <w:p>
            <w:pPr>
              <w:pStyle w:val="Compact"/>
            </w:pPr>
            <w:r>
              <w:t xml:space="preserve">Wyo. R. Evid. 502</w:t>
            </w:r>
          </w:p>
        </w:tc>
        <w:tc>
          <w:tcPr/>
          <w:p>
            <w:pPr>
              <w:pStyle w:val="Compact"/>
            </w:pPr>
            <w:r>
              <w:t xml:space="preserve">Rule‑based; confirm scope and waiver.</w:t>
            </w:r>
          </w:p>
        </w:tc>
      </w:tr>
      <w:tr>
        <w:tc>
          <w:tcPr/>
          <w:p>
            <w:pPr>
              <w:pStyle w:val="Compact"/>
            </w:pPr>
          </w:p>
        </w:tc>
        <w:tc>
          <w:tcPr/>
          <w:p>
            <w:pPr>
              <w:pStyle w:val="Compact"/>
            </w:pPr>
            <w:r>
              <w:t xml:space="preserve">Qualified</w:t>
            </w:r>
          </w:p>
        </w:tc>
        <w:tc>
          <w:tcPr/>
          <w:p>
            <w:pPr>
              <w:pStyle w:val="Compact"/>
            </w:pPr>
            <w:r>
              <w:t xml:space="preserve">D.C. R. Evid. 502</w:t>
            </w:r>
          </w:p>
        </w:tc>
        <w:tc>
          <w:tcPr/>
          <w:p>
            <w:pPr>
              <w:pStyle w:val="Compact"/>
            </w:pPr>
            <w:r>
              <w:t xml:space="preserve">Codified in D.C. evidence rules; check scope.</w:t>
            </w:r>
          </w:p>
        </w:tc>
      </w:tr>
      <w:tr>
        <w:tc>
          <w:tcPr/>
          <w:p>
            <w:pPr>
              <w:pStyle w:val="Compact"/>
            </w:pPr>
          </w:p>
        </w:tc>
        <w:tc>
          <w:tcPr/>
          <w:p>
            <w:pPr>
              <w:pStyle w:val="Compact"/>
            </w:pPr>
            <w:r>
              <w:t xml:space="preserve">Unspecified</w:t>
            </w:r>
          </w:p>
        </w:tc>
        <w:tc>
          <w:tcPr/>
          <w:p>
            <w:pPr>
              <w:pStyle w:val="Compact"/>
            </w:pPr>
            <w:r>
              <w:t xml:space="preserve">Unspecified</w:t>
            </w:r>
          </w:p>
        </w:tc>
        <w:tc>
          <w:tcPr/>
          <w:p>
            <w:pPr>
              <w:pStyle w:val="Compact"/>
            </w:pPr>
            <w:r>
              <w:t xml:space="preserve">Privilege is codified locally; verify current Puerto Rico evidence rules.</w:t>
            </w:r>
          </w:p>
        </w:tc>
      </w:tr>
      <w:tr>
        <w:tc>
          <w:tcPr/>
          <w:p>
            <w:pPr>
              <w:pStyle w:val="Compact"/>
            </w:pPr>
          </w:p>
        </w:tc>
        <w:tc>
          <w:tcPr/>
          <w:p>
            <w:pPr>
              <w:pStyle w:val="Compact"/>
            </w:pPr>
            <w:r>
              <w:t xml:space="preserve">Unspecified</w:t>
            </w:r>
          </w:p>
        </w:tc>
        <w:tc>
          <w:tcPr/>
          <w:p>
            <w:pPr>
              <w:pStyle w:val="Compact"/>
            </w:pPr>
            <w:r>
              <w:t xml:space="preserve">Unspecified</w:t>
            </w:r>
          </w:p>
        </w:tc>
        <w:tc>
          <w:tcPr/>
          <w:p>
            <w:pPr>
              <w:pStyle w:val="Compact"/>
            </w:pPr>
            <w:r>
              <w:t xml:space="preserve">Local codes apply; confirm adopted evidence rules and privilege provisions.</w:t>
            </w:r>
          </w:p>
        </w:tc>
      </w:tr>
      <w:tr>
        <w:tc>
          <w:tcPr/>
          <w:p>
            <w:pPr>
              <w:pStyle w:val="Compact"/>
            </w:pPr>
          </w:p>
        </w:tc>
        <w:tc>
          <w:tcPr/>
          <w:p>
            <w:pPr>
              <w:pStyle w:val="Compact"/>
            </w:pPr>
            <w:r>
              <w:t xml:space="preserve">Unspecified</w:t>
            </w:r>
          </w:p>
        </w:tc>
        <w:tc>
          <w:tcPr/>
          <w:p>
            <w:pPr>
              <w:pStyle w:val="Compact"/>
            </w:pPr>
            <w:r>
              <w:t xml:space="preserve">Unspecified</w:t>
            </w:r>
          </w:p>
        </w:tc>
        <w:tc>
          <w:tcPr/>
          <w:p>
            <w:pPr>
              <w:pStyle w:val="Compact"/>
            </w:pPr>
            <w:r>
              <w:t xml:space="preserve">Local law applies; confirm controlling privilege authority.</w:t>
            </w:r>
          </w:p>
        </w:tc>
      </w:tr>
      <w:tr>
        <w:tc>
          <w:tcPr/>
          <w:p>
            <w:pPr>
              <w:pStyle w:val="Compact"/>
            </w:pPr>
          </w:p>
        </w:tc>
        <w:tc>
          <w:tcPr/>
          <w:p>
            <w:pPr>
              <w:pStyle w:val="Compact"/>
            </w:pPr>
            <w:r>
              <w:t xml:space="preserve">Unspecified</w:t>
            </w:r>
          </w:p>
        </w:tc>
        <w:tc>
          <w:tcPr/>
          <w:p>
            <w:pPr>
              <w:pStyle w:val="Compact"/>
            </w:pPr>
            <w:r>
              <w:t xml:space="preserve">Unspecified</w:t>
            </w:r>
          </w:p>
        </w:tc>
        <w:tc>
          <w:tcPr/>
          <w:p>
            <w:pPr>
              <w:pStyle w:val="Compact"/>
            </w:pPr>
            <w:r>
              <w:t xml:space="preserve">Local legal system varies; consult local rules/counsel.</w:t>
            </w:r>
          </w:p>
        </w:tc>
      </w:tr>
      <w:tr>
        <w:tc>
          <w:tcPr/>
          <w:p>
            <w:pPr>
              <w:pStyle w:val="Compact"/>
            </w:pPr>
          </w:p>
        </w:tc>
        <w:tc>
          <w:tcPr/>
          <w:p>
            <w:pPr>
              <w:pStyle w:val="Compact"/>
            </w:pPr>
            <w:r>
              <w:t xml:space="preserve">Unspecified</w:t>
            </w:r>
          </w:p>
        </w:tc>
        <w:tc>
          <w:tcPr/>
          <w:p>
            <w:pPr>
              <w:pStyle w:val="Compact"/>
            </w:pPr>
            <w:r>
              <w:t xml:space="preserve">Unspecified</w:t>
            </w:r>
          </w:p>
        </w:tc>
        <w:tc>
          <w:tcPr/>
          <w:p>
            <w:pPr>
              <w:pStyle w:val="Compact"/>
            </w:pPr>
            <w:r>
              <w:t xml:space="preserve">Local rules apply; confirm privilege codification.</w:t>
            </w:r>
          </w:p>
        </w:tc>
      </w:tr>
      <w:tr>
        <w:tc>
          <w:tcPr/>
          <w:p>
            <w:pPr>
              <w:pStyle w:val="Compact"/>
            </w:pPr>
          </w:p>
        </w:tc>
        <w:tc>
          <w:tcPr/>
          <w:p>
            <w:pPr>
              <w:pStyle w:val="Compact"/>
            </w:pPr>
            <w:r>
              <w:t xml:space="preserve">Qualified</w:t>
            </w:r>
          </w:p>
        </w:tc>
        <w:tc>
          <w:tcPr/>
          <w:p>
            <w:pPr>
              <w:pStyle w:val="Compact"/>
            </w:pPr>
            <w:r>
              <w:t xml:space="preserve">Fed. R. Evid. 501</w:t>
            </w:r>
          </w:p>
        </w:tc>
        <w:tc>
          <w:tcPr/>
          <w:p>
            <w:pPr>
              <w:pStyle w:val="Compact"/>
            </w:pPr>
            <w:r>
              <w:t xml:space="preserve">Typically governed through federal administration; verify applicable forum rules.</w:t>
            </w:r>
          </w:p>
        </w:tc>
      </w:tr>
      <w:tr>
        <w:tc>
          <w:tcPr/>
          <w:p>
            <w:pPr>
              <w:pStyle w:val="Compact"/>
            </w:pPr>
          </w:p>
        </w:tc>
        <w:tc>
          <w:tcPr/>
          <w:p>
            <w:pPr>
              <w:pStyle w:val="Compact"/>
            </w:pPr>
            <w:r>
              <w:t xml:space="preserve">Qualified</w:t>
            </w:r>
          </w:p>
        </w:tc>
        <w:tc>
          <w:tcPr/>
          <w:p>
            <w:pPr>
              <w:pStyle w:val="Compact"/>
            </w:pPr>
            <w:r>
              <w:t xml:space="preserve">Fed. R. Evid. 501</w:t>
            </w:r>
          </w:p>
        </w:tc>
        <w:tc>
          <w:tcPr/>
          <w:p>
            <w:pPr>
              <w:pStyle w:val="Compact"/>
            </w:pPr>
            <w:r>
              <w:t xml:space="preserve">Limited separate local court system; confirm governing forum.</w:t>
            </w:r>
          </w:p>
        </w:tc>
      </w:tr>
      <w:tr>
        <w:tc>
          <w:tcPr/>
          <w:p>
            <w:pPr>
              <w:pStyle w:val="Compact"/>
            </w:pPr>
          </w:p>
        </w:tc>
        <w:tc>
          <w:tcPr/>
          <w:p>
            <w:pPr>
              <w:pStyle w:val="Compact"/>
            </w:pPr>
            <w:r>
              <w:t xml:space="preserve">Qualified</w:t>
            </w:r>
          </w:p>
        </w:tc>
        <w:tc>
          <w:tcPr/>
          <w:p>
            <w:pPr>
              <w:pStyle w:val="Compact"/>
            </w:pPr>
            <w:r>
              <w:t xml:space="preserve">Fed. R. Evid. 501</w:t>
            </w:r>
          </w:p>
        </w:tc>
        <w:tc>
          <w:tcPr/>
          <w:p>
            <w:pPr>
              <w:pStyle w:val="Compact"/>
            </w:pPr>
            <w:r>
              <w:t xml:space="preserve">Often treated as federally administered; confirm forum and applicable law.</w:t>
            </w:r>
          </w:p>
        </w:tc>
      </w:tr>
    </w:tbl>
    <w:p>
      <w:pPr>
        <w:pStyle w:val="BodyText"/>
      </w:pPr>
      <w:r>
        <w:rPr>
          <w:b/>
          <w:bCs/>
        </w:rPr>
        <w:t xml:space="preserve">How to use this chart:</w:t>
      </w:r>
      <w:r>
        <w:t xml:space="preserve"> </w:t>
      </w:r>
      <w:r>
        <w:t xml:space="preserve">for matters in federal court under federal question jurisdiction, your primary privilege analysis is federal common law under Rule 501.⁴ For state court matters (and many diversity cases), treat the analysis as “qualified” unless you confirm the jurisdiction’s codified definitions of “representative,” waiver, and exceptions.</w:t>
      </w:r>
    </w:p>
    <w:bookmarkEnd w:id="40"/>
    <w:bookmarkStart w:id="43" w:name="X07faae70369eb92f1a8033e35b704c1d6c26ae7"/>
    <w:p>
      <w:pPr>
        <w:pStyle w:val="Heading2"/>
      </w:pPr>
      <w:r>
        <w:t xml:space="preserve">Timeline and the privilege-safe checklist</w:t>
      </w:r>
    </w:p>
    <w:bookmarkStart w:id="41" w:name="timeline-of-doctrinal-milestones"/>
    <w:p>
      <w:pPr>
        <w:pStyle w:val="Heading3"/>
      </w:pPr>
      <w:r>
        <w:t xml:space="preserve">Timeline of doctrinal milestones</w:t>
      </w:r>
    </w:p>
    <w:p>
      <w:pPr>
        <w:pStyle w:val="SourceCode"/>
      </w:pPr>
      <w:r>
        <w:rPr>
          <w:rStyle w:val="VerbatimChar"/>
        </w:rPr>
        <w:t xml:space="preserve">timeline</w:t>
      </w:r>
      <w:r>
        <w:br/>
      </w:r>
      <w:r>
        <w:rPr>
          <w:rStyle w:val="VerbatimChar"/>
        </w:rPr>
        <w:t xml:space="preserve">  title Digital intermediaries and privilege risk</w:t>
      </w:r>
      <w:r>
        <w:br/>
      </w:r>
      <w:r>
        <w:rPr>
          <w:rStyle w:val="VerbatimChar"/>
        </w:rPr>
        <w:t xml:space="preserve">  1961 : Kovel extends privilege to necessary expert/translator agents</w:t>
      </w:r>
      <w:r>
        <w:br/>
      </w:r>
      <w:r>
        <w:rPr>
          <w:rStyle w:val="VerbatimChar"/>
        </w:rPr>
        <w:t xml:space="preserve">  1947 : Hickman anchors work product doctrine</w:t>
      </w:r>
      <w:r>
        <w:br/>
      </w:r>
      <w:r>
        <w:rPr>
          <w:rStyle w:val="VerbatimChar"/>
        </w:rPr>
        <w:t xml:space="preserve">  1974 : Nixon reinforces narrow construction of privileges</w:t>
      </w:r>
      <w:r>
        <w:br/>
      </w:r>
      <w:r>
        <w:rPr>
          <w:rStyle w:val="VerbatimChar"/>
        </w:rPr>
        <w:t xml:space="preserve">  1981 : Upjohn emphasizes purpose: full and frank communication</w:t>
      </w:r>
      <w:r>
        <w:br/>
      </w:r>
      <w:r>
        <w:rPr>
          <w:rStyle w:val="VerbatimChar"/>
        </w:rPr>
        <w:t xml:space="preserve">  2008 : FRE 502 adopted to limit waiver and support clawbacks</w:t>
      </w:r>
      <w:r>
        <w:br/>
      </w:r>
      <w:r>
        <w:rPr>
          <w:rStyle w:val="VerbatimChar"/>
        </w:rPr>
        <w:t xml:space="preserve">  2024 : ABA Formal Opinion 512: lawyers must evaluate GAI risks + confidentiality</w:t>
      </w:r>
      <w:r>
        <w:br/>
      </w:r>
      <w:r>
        <w:rPr>
          <w:rStyle w:val="VerbatimChar"/>
        </w:rPr>
        <w:t xml:space="preserve">  2026 : Heppner bench ruling: third-party AI disclosure + lack of confidentiality defeats privilege claims</w:t>
      </w:r>
      <w:r>
        <w:br/>
      </w:r>
      <w:r>
        <w:rPr>
          <w:rStyle w:val="VerbatimChar"/>
        </w:rPr>
        <w:t xml:space="preserve">  2026 : Proposed model: amend FRE 502 to clarify treatment of AI notetakers as ministerial agents (policy proposal)</w:t>
      </w:r>
    </w:p>
    <w:bookmarkEnd w:id="41"/>
    <w:bookmarkStart w:id="42" w:name="privilege-safe-checklist"/>
    <w:p>
      <w:pPr>
        <w:pStyle w:val="Heading3"/>
      </w:pPr>
      <w:r>
        <w:t xml:space="preserve">Privilege-safe checklist</w:t>
      </w:r>
    </w:p>
    <w:p>
      <w:pPr>
        <w:pStyle w:val="Compact"/>
        <w:numPr>
          <w:ilvl w:val="0"/>
          <w:numId w:val="1008"/>
        </w:numPr>
      </w:pPr>
      <w:r>
        <w:t xml:space="preserve">Treat AI notetakers as</w:t>
      </w:r>
      <w:r>
        <w:t xml:space="preserve"> </w:t>
      </w:r>
      <w:r>
        <w:rPr>
          <w:b/>
          <w:bCs/>
        </w:rPr>
        <w:t xml:space="preserve">vendors</w:t>
      </w:r>
      <w:r>
        <w:t xml:space="preserve">, not gadgets: a third party until proven otherwise.</w:t>
      </w:r>
    </w:p>
    <w:p>
      <w:pPr>
        <w:pStyle w:val="Compact"/>
        <w:numPr>
          <w:ilvl w:val="0"/>
          <w:numId w:val="1008"/>
        </w:numPr>
      </w:pPr>
      <w:r>
        <w:t xml:space="preserve">Record only where it adds value; don’t create ESI you don’t need.</w:t>
      </w:r>
    </w:p>
    <w:p>
      <w:pPr>
        <w:pStyle w:val="Compact"/>
        <w:numPr>
          <w:ilvl w:val="0"/>
          <w:numId w:val="1008"/>
        </w:numPr>
      </w:pPr>
      <w:r>
        <w:t xml:space="preserve">Use lawyer‑controlled accounts (no client personal subscriptions for case transcripts).</w:t>
      </w:r>
    </w:p>
    <w:p>
      <w:pPr>
        <w:pStyle w:val="Compact"/>
        <w:numPr>
          <w:ilvl w:val="0"/>
          <w:numId w:val="1008"/>
        </w:numPr>
      </w:pPr>
      <w:r>
        <w:t xml:space="preserve">Disable auto‑share; restrict sharing to the firm domain/workspace.</w:t>
      </w:r>
    </w:p>
    <w:p>
      <w:pPr>
        <w:pStyle w:val="Compact"/>
        <w:numPr>
          <w:ilvl w:val="0"/>
          <w:numId w:val="1008"/>
        </w:numPr>
      </w:pPr>
      <w:r>
        <w:t xml:space="preserve">Turn off training/feedback access paths where available, or contractually prohibit training on client content.</w:t>
      </w:r>
    </w:p>
    <w:p>
      <w:pPr>
        <w:pStyle w:val="Compact"/>
        <w:numPr>
          <w:ilvl w:val="0"/>
          <w:numId w:val="1008"/>
        </w:numPr>
      </w:pPr>
      <w:r>
        <w:t xml:space="preserve">Prohibit routine vendor human review; allow only opt‑in, logged, narrow support access.</w:t>
      </w:r>
    </w:p>
    <w:p>
      <w:pPr>
        <w:pStyle w:val="Compact"/>
        <w:numPr>
          <w:ilvl w:val="0"/>
          <w:numId w:val="1008"/>
        </w:numPr>
      </w:pPr>
      <w:r>
        <w:t xml:space="preserve">Export to your matter DMS immediately; delete from the vendor platform promptly.</w:t>
      </w:r>
    </w:p>
    <w:p>
      <w:pPr>
        <w:pStyle w:val="Compact"/>
        <w:numPr>
          <w:ilvl w:val="0"/>
          <w:numId w:val="1008"/>
        </w:numPr>
      </w:pPr>
      <w:r>
        <w:t xml:space="preserve">Label every transcript “Privileged &amp; Confidential / Attorney Work Product.”</w:t>
      </w:r>
    </w:p>
    <w:p>
      <w:pPr>
        <w:pStyle w:val="Compact"/>
        <w:numPr>
          <w:ilvl w:val="0"/>
          <w:numId w:val="1008"/>
        </w:numPr>
      </w:pPr>
      <w:r>
        <w:t xml:space="preserve">Convert transcript into attorney‑curated notes to strengthen opinion work product posture.</w:t>
      </w:r>
    </w:p>
    <w:p>
      <w:pPr>
        <w:pStyle w:val="Compact"/>
        <w:numPr>
          <w:ilvl w:val="0"/>
          <w:numId w:val="1008"/>
        </w:numPr>
      </w:pPr>
      <w:r>
        <w:t xml:space="preserve">Update your engagement language and obtain client consent for recorded/internal transcription.</w:t>
      </w:r>
    </w:p>
    <w:p>
      <w:pPr>
        <w:pStyle w:val="Compact"/>
        <w:numPr>
          <w:ilvl w:val="0"/>
          <w:numId w:val="1008"/>
        </w:numPr>
      </w:pPr>
      <w:r>
        <w:t xml:space="preserve">Maintain a “defensibility file” (contract terms, settings screenshots, retention policy, access logs).</w:t>
      </w:r>
    </w:p>
    <w:p>
      <w:pPr>
        <w:pStyle w:val="Compact"/>
        <w:numPr>
          <w:ilvl w:val="0"/>
          <w:numId w:val="1008"/>
        </w:numPr>
      </w:pPr>
      <w:r>
        <w:t xml:space="preserve">Train your staff: a single casual share can be a waiver fight.</w:t>
      </w:r>
    </w:p>
    <w:bookmarkEnd w:id="42"/>
    <w:bookmarkEnd w:id="43"/>
    <w:bookmarkStart w:id="44" w:name="endnotes"/>
    <w:p>
      <w:pPr>
        <w:pStyle w:val="Heading2"/>
      </w:pPr>
      <w:r>
        <w:t xml:space="preserve">Endnotes</w:t>
      </w:r>
    </w:p>
    <w:p>
      <w:pPr>
        <w:pStyle w:val="Compact"/>
        <w:numPr>
          <w:ilvl w:val="0"/>
          <w:numId w:val="1009"/>
        </w:numPr>
      </w:pPr>
      <w:r>
        <w:t xml:space="preserve">Transcript of Proceedings at 3,</w:t>
      </w:r>
      <w:r>
        <w:t xml:space="preserve"> </w:t>
      </w:r>
      <w:r>
        <w:rPr>
          <w:i/>
          <w:iCs/>
        </w:rPr>
        <w:t xml:space="preserve">United States v. Heppner</w:t>
      </w:r>
      <w:r>
        <w:t xml:space="preserve">, No. 25 Cr. 503 (JSR) (S.D.N.Y. Feb. 10, 2026).</w:t>
      </w:r>
    </w:p>
    <w:p>
      <w:pPr>
        <w:pStyle w:val="Compact"/>
        <w:numPr>
          <w:ilvl w:val="0"/>
          <w:numId w:val="1009"/>
        </w:numPr>
      </w:pPr>
      <w:r>
        <w:rPr>
          <w:i/>
          <w:iCs/>
        </w:rPr>
        <w:t xml:space="preserve">FTC v. TRW, Inc.</w:t>
      </w:r>
      <w:r>
        <w:t xml:space="preserve">, 479 F. Supp. 160, 164 n.7 (D.D.C. 1979), aff’d, 628 F.2d 207 (D.C. Cir. 1980).</w:t>
      </w:r>
    </w:p>
    <w:p>
      <w:pPr>
        <w:pStyle w:val="Compact"/>
        <w:numPr>
          <w:ilvl w:val="0"/>
          <w:numId w:val="1009"/>
        </w:numPr>
      </w:pPr>
      <w:r>
        <w:rPr>
          <w:i/>
          <w:iCs/>
        </w:rPr>
        <w:t xml:space="preserve">United States v. Kovel</w:t>
      </w:r>
      <w:r>
        <w:t xml:space="preserve">, 296 F.2d 918, 922 (2d Cir. 1961).</w:t>
      </w:r>
    </w:p>
    <w:p>
      <w:pPr>
        <w:pStyle w:val="Compact"/>
        <w:numPr>
          <w:ilvl w:val="0"/>
          <w:numId w:val="1009"/>
        </w:numPr>
      </w:pPr>
      <w:r>
        <w:t xml:space="preserve">Fed. R. Evid. 501.</w:t>
      </w:r>
    </w:p>
    <w:p>
      <w:pPr>
        <w:pStyle w:val="Compact"/>
        <w:numPr>
          <w:ilvl w:val="0"/>
          <w:numId w:val="1009"/>
        </w:numPr>
      </w:pPr>
      <w:r>
        <w:rPr>
          <w:i/>
          <w:iCs/>
        </w:rPr>
        <w:t xml:space="preserve">Upjohn Co. v. United States</w:t>
      </w:r>
      <w:r>
        <w:t xml:space="preserve">, 449 U.S. 383, 389 (1981).</w:t>
      </w:r>
    </w:p>
    <w:p>
      <w:pPr>
        <w:pStyle w:val="Compact"/>
        <w:numPr>
          <w:ilvl w:val="0"/>
          <w:numId w:val="1009"/>
        </w:numPr>
      </w:pPr>
      <w:r>
        <w:rPr>
          <w:i/>
          <w:iCs/>
        </w:rPr>
        <w:t xml:space="preserve">United States v. Nixon</w:t>
      </w:r>
      <w:r>
        <w:t xml:space="preserve">, 418 U.S. 683, 709–10 (1974).</w:t>
      </w:r>
    </w:p>
    <w:p>
      <w:pPr>
        <w:pStyle w:val="Compact"/>
        <w:numPr>
          <w:ilvl w:val="0"/>
          <w:numId w:val="1009"/>
        </w:numPr>
      </w:pPr>
      <w:r>
        <w:t xml:space="preserve">See, e.g.,</w:t>
      </w:r>
      <w:r>
        <w:t xml:space="preserve"> </w:t>
      </w:r>
      <w:r>
        <w:rPr>
          <w:i/>
          <w:iCs/>
        </w:rPr>
        <w:t xml:space="preserve">In re Grand Jury Subpoena Duces Tecum Dated Sept. 15, 1983</w:t>
      </w:r>
      <w:r>
        <w:t xml:space="preserve">, 731 F.2d 1032, 1036 (2d Cir. 1984).</w:t>
      </w:r>
    </w:p>
    <w:p>
      <w:pPr>
        <w:pStyle w:val="Compact"/>
        <w:numPr>
          <w:ilvl w:val="0"/>
          <w:numId w:val="1009"/>
        </w:numPr>
      </w:pPr>
      <w:r>
        <w:t xml:space="preserve">See, e.g.,</w:t>
      </w:r>
      <w:r>
        <w:t xml:space="preserve"> </w:t>
      </w:r>
      <w:r>
        <w:rPr>
          <w:i/>
          <w:iCs/>
        </w:rPr>
        <w:t xml:space="preserve">In re Horowitz</w:t>
      </w:r>
      <w:r>
        <w:t xml:space="preserve">, 482 F.2d 72, 81–82 (2d Cir. 1973).</w:t>
      </w:r>
    </w:p>
    <w:p>
      <w:pPr>
        <w:pStyle w:val="Compact"/>
        <w:numPr>
          <w:ilvl w:val="0"/>
          <w:numId w:val="1009"/>
        </w:numPr>
      </w:pPr>
      <w:r>
        <w:t xml:space="preserve">See, e.g.,</w:t>
      </w:r>
      <w:r>
        <w:t xml:space="preserve"> </w:t>
      </w:r>
      <w:r>
        <w:rPr>
          <w:i/>
          <w:iCs/>
        </w:rPr>
        <w:t xml:space="preserve">In re Asia Glob. Crossing, Ltd.</w:t>
      </w:r>
      <w:r>
        <w:t xml:space="preserve">, 322 B.R. 247, 257 (Bankr. S.D.N.Y. 2005).</w:t>
      </w:r>
    </w:p>
    <w:p>
      <w:pPr>
        <w:pStyle w:val="Compact"/>
        <w:numPr>
          <w:ilvl w:val="0"/>
          <w:numId w:val="1009"/>
        </w:numPr>
      </w:pPr>
      <w:r>
        <w:rPr>
          <w:i/>
          <w:iCs/>
        </w:rPr>
        <w:t xml:space="preserve">Hickman v. Taylor</w:t>
      </w:r>
      <w:r>
        <w:t xml:space="preserve">, 329 U.S. 495, 510–12 (1947).</w:t>
      </w:r>
    </w:p>
    <w:p>
      <w:pPr>
        <w:pStyle w:val="Compact"/>
        <w:numPr>
          <w:ilvl w:val="0"/>
          <w:numId w:val="1009"/>
        </w:numPr>
      </w:pPr>
      <w:r>
        <w:t xml:space="preserve">Fed. R. Civ. P. 26(b)(3).</w:t>
      </w:r>
    </w:p>
    <w:p>
      <w:pPr>
        <w:pStyle w:val="Compact"/>
        <w:numPr>
          <w:ilvl w:val="0"/>
          <w:numId w:val="1009"/>
        </w:numPr>
      </w:pPr>
      <w:r>
        <w:t xml:space="preserve">Fed. R. Evid. 502.</w:t>
      </w:r>
    </w:p>
    <w:p>
      <w:pPr>
        <w:pStyle w:val="Compact"/>
        <w:numPr>
          <w:ilvl w:val="0"/>
          <w:numId w:val="1009"/>
        </w:numPr>
      </w:pPr>
      <w:r>
        <w:t xml:space="preserve">United States’ Motion for a Ruling that Documents the Defendant Generated Through an Artificial Intelligence Tool Are Not Privileged,</w:t>
      </w:r>
      <w:r>
        <w:t xml:space="preserve"> </w:t>
      </w:r>
      <w:r>
        <w:rPr>
          <w:i/>
          <w:iCs/>
        </w:rPr>
        <w:t xml:space="preserve">Heppner</w:t>
      </w:r>
      <w:r>
        <w:t xml:space="preserve">, No. 25 Cr. 503 (JSR) (S.D.N.Y. Feb. 6, 2026), ECF No. 22.</w:t>
      </w:r>
    </w:p>
    <w:p>
      <w:pPr>
        <w:pStyle w:val="Compact"/>
        <w:numPr>
          <w:ilvl w:val="0"/>
          <w:numId w:val="1009"/>
        </w:numPr>
      </w:pPr>
      <w:r>
        <w:t xml:space="preserve">Transcript of Proceedings at 3,</w:t>
      </w:r>
      <w:r>
        <w:t xml:space="preserve"> </w:t>
      </w:r>
      <w:r>
        <w:rPr>
          <w:i/>
          <w:iCs/>
        </w:rPr>
        <w:t xml:space="preserve">Heppner</w:t>
      </w:r>
      <w:r>
        <w:t xml:space="preserve">, No. 25 Cr. 503 (JSR) (S.D.N.Y. Feb. 10, 2026).</w:t>
      </w:r>
    </w:p>
    <w:p>
      <w:pPr>
        <w:pStyle w:val="Compact"/>
        <w:numPr>
          <w:ilvl w:val="0"/>
          <w:numId w:val="1009"/>
        </w:numPr>
      </w:pPr>
      <w:r>
        <w:t xml:space="preserve">United States’ Motion for a Ruling that Documents the Defendant Generated Through an Artificial Intelligence Tool Are Not Privileged at 1–2,</w:t>
      </w:r>
      <w:r>
        <w:t xml:space="preserve"> </w:t>
      </w:r>
      <w:r>
        <w:rPr>
          <w:i/>
          <w:iCs/>
        </w:rPr>
        <w:t xml:space="preserve">Heppner</w:t>
      </w:r>
      <w:r>
        <w:t xml:space="preserve">, No. 25 Cr. 503 (JSR) (S.D.N.Y. Feb. 6, 2026), ECF No. 22.</w:t>
      </w:r>
    </w:p>
    <w:p>
      <w:pPr>
        <w:pStyle w:val="Compact"/>
        <w:numPr>
          <w:ilvl w:val="0"/>
          <w:numId w:val="1009"/>
        </w:numPr>
      </w:pPr>
      <w:r>
        <w:rPr>
          <w:i/>
          <w:iCs/>
        </w:rPr>
        <w:t xml:space="preserve">Fisher v. United States</w:t>
      </w:r>
      <w:r>
        <w:t xml:space="preserve">, 425 U.S. 391, 403–04 (1976).</w:t>
      </w:r>
    </w:p>
    <w:p>
      <w:pPr>
        <w:pStyle w:val="Compact"/>
        <w:numPr>
          <w:ilvl w:val="0"/>
          <w:numId w:val="1009"/>
        </w:numPr>
      </w:pPr>
      <w:r>
        <w:t xml:space="preserve">See</w:t>
      </w:r>
      <w:r>
        <w:t xml:space="preserve"> </w:t>
      </w:r>
      <w:r>
        <w:rPr>
          <w:i/>
          <w:iCs/>
        </w:rPr>
        <w:t xml:space="preserve">United States v. Nobles</w:t>
      </w:r>
      <w:r>
        <w:t xml:space="preserve">, 422 U.S. 225, 238–39 (1975).</w:t>
      </w:r>
    </w:p>
    <w:p>
      <w:pPr>
        <w:pStyle w:val="Compact"/>
        <w:numPr>
          <w:ilvl w:val="0"/>
          <w:numId w:val="1009"/>
        </w:numPr>
      </w:pPr>
      <w:r>
        <w:rPr>
          <w:i/>
          <w:iCs/>
        </w:rPr>
        <w:t xml:space="preserve">United States v. Ackert</w:t>
      </w:r>
      <w:r>
        <w:t xml:space="preserve">, 169 F.3d 136, 139–40 (2d Cir. 1999).</w:t>
      </w:r>
    </w:p>
    <w:p>
      <w:pPr>
        <w:pStyle w:val="Compact"/>
        <w:numPr>
          <w:ilvl w:val="0"/>
          <w:numId w:val="1009"/>
        </w:numPr>
      </w:pPr>
      <w:r>
        <w:t xml:space="preserve">, Code of Professional Ethics (as amended); Advisory Opinion 9 (as amended).</w:t>
      </w:r>
    </w:p>
    <w:p>
      <w:pPr>
        <w:pStyle w:val="Compact"/>
        <w:numPr>
          <w:ilvl w:val="0"/>
          <w:numId w:val="1009"/>
        </w:numPr>
      </w:pPr>
      <w:r>
        <w:t xml:space="preserve">, Privacy Policy; Privacy &amp; Security statements; Help Center guidance on training/feedback controls (as available Feb. 2026).</w:t>
      </w:r>
    </w:p>
    <w:p>
      <w:pPr>
        <w:pStyle w:val="Compact"/>
        <w:numPr>
          <w:ilvl w:val="0"/>
          <w:numId w:val="1009"/>
        </w:numPr>
      </w:pPr>
      <w:r>
        <w:t xml:space="preserve">, Formal Op. 512 (2024).</w:t>
      </w:r>
    </w:p>
    <w:p>
      <w:pPr>
        <w:pStyle w:val="Compact"/>
        <w:numPr>
          <w:ilvl w:val="0"/>
          <w:numId w:val="1009"/>
        </w:numPr>
      </w:pPr>
      <w:r>
        <w:t xml:space="preserve">Ohio Rules of Prof’l Conduct R. 5.3 cmt. 3; see also Ohio Rules of Prof’l Conduct R. 1.6(c) (illustrative of vendor‑services supervision expectations).</w:t>
      </w:r>
    </w:p>
    <w:p>
      <w:pPr>
        <w:pStyle w:val="Compact"/>
        <w:numPr>
          <w:ilvl w:val="0"/>
          <w:numId w:val="1009"/>
        </w:numPr>
      </w:pPr>
      <w:r>
        <w:t xml:space="preserve">Otter.ai Help Center, “Provide feedback to Otter” (training/feedback permission settings) (as available Feb. 2026).</w:t>
      </w:r>
    </w:p>
    <w:p>
      <w:pPr>
        <w:pStyle w:val="Compact"/>
        <w:numPr>
          <w:ilvl w:val="0"/>
          <w:numId w:val="1009"/>
        </w:numPr>
      </w:pPr>
      <w:r>
        <w:t xml:space="preserve">Otter.ai Help Center, notetaker meeting settings and auto‑share guidance (as available Feb. 2026).</w:t>
      </w:r>
    </w:p>
    <w:p>
      <w:pPr>
        <w:pStyle w:val="Compact"/>
        <w:numPr>
          <w:ilvl w:val="0"/>
          <w:numId w:val="1009"/>
        </w:numPr>
      </w:pPr>
      <w:r>
        <w:t xml:space="preserve">Ala. R. Evid. 502.</w:t>
      </w:r>
    </w:p>
    <w:p>
      <w:pPr>
        <w:pStyle w:val="Compact"/>
        <w:numPr>
          <w:ilvl w:val="0"/>
          <w:numId w:val="1009"/>
        </w:numPr>
      </w:pPr>
      <w:r>
        <w:t xml:space="preserve">Alaska R. Evid. 503.</w:t>
      </w:r>
    </w:p>
    <w:p>
      <w:pPr>
        <w:pStyle w:val="Compact"/>
        <w:numPr>
          <w:ilvl w:val="0"/>
          <w:numId w:val="1009"/>
        </w:numPr>
      </w:pPr>
      <w:r>
        <w:t xml:space="preserve">Ariz. R. Evid. 502.</w:t>
      </w:r>
    </w:p>
    <w:p>
      <w:pPr>
        <w:pStyle w:val="Compact"/>
        <w:numPr>
          <w:ilvl w:val="0"/>
          <w:numId w:val="1009"/>
        </w:numPr>
      </w:pPr>
      <w:r>
        <w:t xml:space="preserve">Ark. R. Evid. 502.</w:t>
      </w:r>
    </w:p>
    <w:p>
      <w:pPr>
        <w:pStyle w:val="Compact"/>
        <w:numPr>
          <w:ilvl w:val="0"/>
          <w:numId w:val="1009"/>
        </w:numPr>
      </w:pPr>
      <w:r>
        <w:t xml:space="preserve">Cal. Evid. Code §§ 950–962.</w:t>
      </w:r>
    </w:p>
    <w:p>
      <w:pPr>
        <w:pStyle w:val="Compact"/>
        <w:numPr>
          <w:ilvl w:val="0"/>
          <w:numId w:val="1009"/>
        </w:numPr>
      </w:pPr>
      <w:r>
        <w:t xml:space="preserve">Colo. Rev. Stat. § 13‑90‑107(1)(b).</w:t>
      </w:r>
    </w:p>
    <w:p>
      <w:pPr>
        <w:pStyle w:val="Compact"/>
        <w:numPr>
          <w:ilvl w:val="0"/>
          <w:numId w:val="1009"/>
        </w:numPr>
      </w:pPr>
      <w:r>
        <w:t xml:space="preserve">Conn. Code Evid. § 5‑3.</w:t>
      </w:r>
    </w:p>
    <w:p>
      <w:pPr>
        <w:pStyle w:val="Compact"/>
        <w:numPr>
          <w:ilvl w:val="0"/>
          <w:numId w:val="1009"/>
        </w:numPr>
      </w:pPr>
      <w:r>
        <w:t xml:space="preserve">Del. R. Evid. 502.</w:t>
      </w:r>
    </w:p>
    <w:p>
      <w:pPr>
        <w:pStyle w:val="Compact"/>
        <w:numPr>
          <w:ilvl w:val="0"/>
          <w:numId w:val="1009"/>
        </w:numPr>
      </w:pPr>
      <w:r>
        <w:t xml:space="preserve">Fla. Stat. § 90.502.</w:t>
      </w:r>
    </w:p>
    <w:p>
      <w:pPr>
        <w:pStyle w:val="Compact"/>
        <w:numPr>
          <w:ilvl w:val="0"/>
          <w:numId w:val="1009"/>
        </w:numPr>
      </w:pPr>
      <w:r>
        <w:t xml:space="preserve">O.C.G.A. § 24‑5‑501.</w:t>
      </w:r>
    </w:p>
    <w:p>
      <w:pPr>
        <w:pStyle w:val="Compact"/>
        <w:numPr>
          <w:ilvl w:val="0"/>
          <w:numId w:val="1009"/>
        </w:numPr>
      </w:pPr>
      <w:r>
        <w:t xml:space="preserve">Haw. R. Evid. 503.</w:t>
      </w:r>
    </w:p>
    <w:p>
      <w:pPr>
        <w:pStyle w:val="Compact"/>
        <w:numPr>
          <w:ilvl w:val="0"/>
          <w:numId w:val="1009"/>
        </w:numPr>
      </w:pPr>
      <w:r>
        <w:t xml:space="preserve">Idaho R. Evid. 502.</w:t>
      </w:r>
    </w:p>
    <w:p>
      <w:pPr>
        <w:pStyle w:val="Compact"/>
        <w:numPr>
          <w:ilvl w:val="0"/>
          <w:numId w:val="1009"/>
        </w:numPr>
      </w:pPr>
      <w:r>
        <w:t xml:space="preserve">Ill. R. Evid. 502.</w:t>
      </w:r>
    </w:p>
    <w:p>
      <w:pPr>
        <w:pStyle w:val="Compact"/>
        <w:numPr>
          <w:ilvl w:val="0"/>
          <w:numId w:val="1009"/>
        </w:numPr>
      </w:pPr>
      <w:r>
        <w:t xml:space="preserve">Ind. R. Evid. 502.</w:t>
      </w:r>
    </w:p>
    <w:p>
      <w:pPr>
        <w:pStyle w:val="Compact"/>
        <w:numPr>
          <w:ilvl w:val="0"/>
          <w:numId w:val="1009"/>
        </w:numPr>
      </w:pPr>
      <w:r>
        <w:t xml:space="preserve">Iowa R. Evid. 5.502.</w:t>
      </w:r>
    </w:p>
    <w:p>
      <w:pPr>
        <w:pStyle w:val="Compact"/>
        <w:numPr>
          <w:ilvl w:val="0"/>
          <w:numId w:val="1009"/>
        </w:numPr>
      </w:pPr>
      <w:r>
        <w:t xml:space="preserve">Kan. Stat. Ann. § 60‑426.</w:t>
      </w:r>
    </w:p>
    <w:p>
      <w:pPr>
        <w:pStyle w:val="Compact"/>
        <w:numPr>
          <w:ilvl w:val="0"/>
          <w:numId w:val="1009"/>
        </w:numPr>
      </w:pPr>
      <w:r>
        <w:t xml:space="preserve">Ky. R. Evid. 503.</w:t>
      </w:r>
    </w:p>
    <w:p>
      <w:pPr>
        <w:pStyle w:val="Compact"/>
        <w:numPr>
          <w:ilvl w:val="0"/>
          <w:numId w:val="1009"/>
        </w:numPr>
      </w:pPr>
      <w:r>
        <w:t xml:space="preserve">La. Code Evid. art. 506.</w:t>
      </w:r>
    </w:p>
    <w:p>
      <w:pPr>
        <w:pStyle w:val="Compact"/>
        <w:numPr>
          <w:ilvl w:val="0"/>
          <w:numId w:val="1009"/>
        </w:numPr>
      </w:pPr>
      <w:r>
        <w:t xml:space="preserve">Me. R. Evid. 502.</w:t>
      </w:r>
    </w:p>
    <w:p>
      <w:pPr>
        <w:pStyle w:val="Compact"/>
        <w:numPr>
          <w:ilvl w:val="0"/>
          <w:numId w:val="1009"/>
        </w:numPr>
      </w:pPr>
      <w:r>
        <w:t xml:space="preserve">Md. Rule 5‑503.</w:t>
      </w:r>
    </w:p>
    <w:p>
      <w:pPr>
        <w:pStyle w:val="Compact"/>
        <w:numPr>
          <w:ilvl w:val="0"/>
          <w:numId w:val="1009"/>
        </w:numPr>
      </w:pPr>
      <w:r>
        <w:t xml:space="preserve">Mass. Guide to Evid. § 502.</w:t>
      </w:r>
    </w:p>
    <w:p>
      <w:pPr>
        <w:pStyle w:val="Compact"/>
        <w:numPr>
          <w:ilvl w:val="0"/>
          <w:numId w:val="1009"/>
        </w:numPr>
      </w:pPr>
      <w:r>
        <w:t xml:space="preserve">Mich. R. Evid. 501;</w:t>
      </w:r>
      <w:r>
        <w:t xml:space="preserve"> </w:t>
      </w:r>
      <w:r>
        <w:rPr>
          <w:i/>
          <w:iCs/>
        </w:rPr>
        <w:t xml:space="preserve">People v. Nash</w:t>
      </w:r>
      <w:r>
        <w:t xml:space="preserve">, 418 Mich. 196, 341 N.W.2d 439 (1983).</w:t>
      </w:r>
    </w:p>
    <w:p>
      <w:pPr>
        <w:pStyle w:val="Compact"/>
        <w:numPr>
          <w:ilvl w:val="0"/>
          <w:numId w:val="1009"/>
        </w:numPr>
      </w:pPr>
      <w:r>
        <w:t xml:space="preserve">Minn. R. Evid. 502.</w:t>
      </w:r>
    </w:p>
    <w:p>
      <w:pPr>
        <w:pStyle w:val="Compact"/>
        <w:numPr>
          <w:ilvl w:val="0"/>
          <w:numId w:val="1009"/>
        </w:numPr>
      </w:pPr>
      <w:r>
        <w:t xml:space="preserve">Miss. R. Evid. 502.</w:t>
      </w:r>
    </w:p>
    <w:p>
      <w:pPr>
        <w:pStyle w:val="Compact"/>
        <w:numPr>
          <w:ilvl w:val="0"/>
          <w:numId w:val="1009"/>
        </w:numPr>
      </w:pPr>
      <w:r>
        <w:t xml:space="preserve">Mo. Rev. Stat. § 491.060(3).</w:t>
      </w:r>
    </w:p>
    <w:p>
      <w:pPr>
        <w:pStyle w:val="Compact"/>
        <w:numPr>
          <w:ilvl w:val="0"/>
          <w:numId w:val="1009"/>
        </w:numPr>
      </w:pPr>
      <w:r>
        <w:t xml:space="preserve">Mont. R. Evid. 503.</w:t>
      </w:r>
    </w:p>
    <w:p>
      <w:pPr>
        <w:pStyle w:val="Compact"/>
        <w:numPr>
          <w:ilvl w:val="0"/>
          <w:numId w:val="1009"/>
        </w:numPr>
      </w:pPr>
      <w:r>
        <w:t xml:space="preserve">Neb. Rev. Stat. § 27‑503.</w:t>
      </w:r>
    </w:p>
    <w:p>
      <w:pPr>
        <w:pStyle w:val="Compact"/>
        <w:numPr>
          <w:ilvl w:val="0"/>
          <w:numId w:val="1009"/>
        </w:numPr>
      </w:pPr>
      <w:r>
        <w:t xml:space="preserve">Nev. Rev. Stat. §§ 49.035–49.115.</w:t>
      </w:r>
    </w:p>
    <w:p>
      <w:pPr>
        <w:pStyle w:val="Compact"/>
        <w:numPr>
          <w:ilvl w:val="0"/>
          <w:numId w:val="1009"/>
        </w:numPr>
      </w:pPr>
      <w:r>
        <w:t xml:space="preserve">N.H. R. Evid. 502.</w:t>
      </w:r>
    </w:p>
    <w:p>
      <w:pPr>
        <w:pStyle w:val="Compact"/>
        <w:numPr>
          <w:ilvl w:val="0"/>
          <w:numId w:val="1009"/>
        </w:numPr>
      </w:pPr>
      <w:r>
        <w:t xml:space="preserve">N.J. R. Evid. 504.</w:t>
      </w:r>
    </w:p>
    <w:p>
      <w:pPr>
        <w:pStyle w:val="Compact"/>
        <w:numPr>
          <w:ilvl w:val="0"/>
          <w:numId w:val="1009"/>
        </w:numPr>
      </w:pPr>
      <w:r>
        <w:t xml:space="preserve">N.M. R. Evid. 11‑503.</w:t>
      </w:r>
    </w:p>
    <w:p>
      <w:pPr>
        <w:pStyle w:val="Compact"/>
        <w:numPr>
          <w:ilvl w:val="0"/>
          <w:numId w:val="1009"/>
        </w:numPr>
      </w:pPr>
      <w:r>
        <w:t xml:space="preserve">N.Y. C.P.L.R. 4503.</w:t>
      </w:r>
    </w:p>
    <w:p>
      <w:pPr>
        <w:pStyle w:val="Compact"/>
        <w:numPr>
          <w:ilvl w:val="0"/>
          <w:numId w:val="1009"/>
        </w:numPr>
      </w:pPr>
      <w:r>
        <w:t xml:space="preserve">N.C. Gen. Stat. § 8‑53.3.</w:t>
      </w:r>
    </w:p>
    <w:p>
      <w:pPr>
        <w:pStyle w:val="Compact"/>
        <w:numPr>
          <w:ilvl w:val="0"/>
          <w:numId w:val="1009"/>
        </w:numPr>
      </w:pPr>
      <w:r>
        <w:t xml:space="preserve">N.D. R. Evid. 502.</w:t>
      </w:r>
    </w:p>
    <w:p>
      <w:pPr>
        <w:pStyle w:val="Compact"/>
        <w:numPr>
          <w:ilvl w:val="0"/>
          <w:numId w:val="1009"/>
        </w:numPr>
      </w:pPr>
      <w:r>
        <w:t xml:space="preserve">Okla. Stat. tit. 12, § 2502.</w:t>
      </w:r>
    </w:p>
    <w:p>
      <w:pPr>
        <w:pStyle w:val="Compact"/>
        <w:numPr>
          <w:ilvl w:val="0"/>
          <w:numId w:val="1009"/>
        </w:numPr>
      </w:pPr>
      <w:r>
        <w:t xml:space="preserve">Ohio Rev. Code § 2317.02(A).</w:t>
      </w:r>
    </w:p>
    <w:p>
      <w:pPr>
        <w:pStyle w:val="Compact"/>
        <w:numPr>
          <w:ilvl w:val="0"/>
          <w:numId w:val="1009"/>
        </w:numPr>
      </w:pPr>
      <w:r>
        <w:t xml:space="preserve">Or. Evid. Code 503.</w:t>
      </w:r>
    </w:p>
    <w:p>
      <w:pPr>
        <w:pStyle w:val="Compact"/>
        <w:numPr>
          <w:ilvl w:val="0"/>
          <w:numId w:val="1009"/>
        </w:numPr>
      </w:pPr>
      <w:r>
        <w:t xml:space="preserve">42 Pa. Cons. Stat. § 5928.</w:t>
      </w:r>
    </w:p>
    <w:p>
      <w:pPr>
        <w:pStyle w:val="Compact"/>
        <w:numPr>
          <w:ilvl w:val="0"/>
          <w:numId w:val="1009"/>
        </w:numPr>
      </w:pPr>
      <w:r>
        <w:t xml:space="preserve">R.I. R. Evid. 502.</w:t>
      </w:r>
    </w:p>
    <w:p>
      <w:pPr>
        <w:pStyle w:val="Compact"/>
        <w:numPr>
          <w:ilvl w:val="0"/>
          <w:numId w:val="1009"/>
        </w:numPr>
      </w:pPr>
      <w:r>
        <w:t xml:space="preserve">S.C. R. Evid. 502.</w:t>
      </w:r>
    </w:p>
    <w:p>
      <w:pPr>
        <w:pStyle w:val="Compact"/>
        <w:numPr>
          <w:ilvl w:val="0"/>
          <w:numId w:val="1009"/>
        </w:numPr>
      </w:pPr>
      <w:r>
        <w:t xml:space="preserve">S.D. Codified Laws § 19‑19‑502.</w:t>
      </w:r>
    </w:p>
    <w:p>
      <w:pPr>
        <w:pStyle w:val="Compact"/>
        <w:numPr>
          <w:ilvl w:val="0"/>
          <w:numId w:val="1009"/>
        </w:numPr>
      </w:pPr>
      <w:r>
        <w:t xml:space="preserve">Tenn. Code Ann. § 23‑3‑105.</w:t>
      </w:r>
    </w:p>
    <w:p>
      <w:pPr>
        <w:pStyle w:val="Compact"/>
        <w:numPr>
          <w:ilvl w:val="0"/>
          <w:numId w:val="1009"/>
        </w:numPr>
      </w:pPr>
      <w:r>
        <w:t xml:space="preserve">Tex. R. Evid. 503.</w:t>
      </w:r>
    </w:p>
    <w:p>
      <w:pPr>
        <w:pStyle w:val="Compact"/>
        <w:numPr>
          <w:ilvl w:val="0"/>
          <w:numId w:val="1009"/>
        </w:numPr>
      </w:pPr>
      <w:r>
        <w:t xml:space="preserve">Utah R. Evid. 504.</w:t>
      </w:r>
    </w:p>
    <w:p>
      <w:pPr>
        <w:pStyle w:val="Compact"/>
        <w:numPr>
          <w:ilvl w:val="0"/>
          <w:numId w:val="1009"/>
        </w:numPr>
      </w:pPr>
      <w:r>
        <w:t xml:space="preserve">Vt. R. Evid. 502.</w:t>
      </w:r>
    </w:p>
    <w:p>
      <w:pPr>
        <w:pStyle w:val="Compact"/>
        <w:numPr>
          <w:ilvl w:val="0"/>
          <w:numId w:val="1009"/>
        </w:numPr>
      </w:pPr>
      <w:r>
        <w:t xml:space="preserve">Va. Code Ann. § 8.01‑398.</w:t>
      </w:r>
    </w:p>
    <w:p>
      <w:pPr>
        <w:pStyle w:val="Compact"/>
        <w:numPr>
          <w:ilvl w:val="0"/>
          <w:numId w:val="1009"/>
        </w:numPr>
      </w:pPr>
      <w:r>
        <w:t xml:space="preserve">Wash. Rev. Code § 5.60.060(2)(a).</w:t>
      </w:r>
    </w:p>
    <w:p>
      <w:pPr>
        <w:pStyle w:val="Compact"/>
        <w:numPr>
          <w:ilvl w:val="0"/>
          <w:numId w:val="1009"/>
        </w:numPr>
      </w:pPr>
      <w:r>
        <w:t xml:space="preserve">W. Va. R. Evid. 502.</w:t>
      </w:r>
    </w:p>
    <w:p>
      <w:pPr>
        <w:pStyle w:val="Compact"/>
        <w:numPr>
          <w:ilvl w:val="0"/>
          <w:numId w:val="1009"/>
        </w:numPr>
      </w:pPr>
      <w:r>
        <w:t xml:space="preserve">Wis. Stat. § 905.03.</w:t>
      </w:r>
    </w:p>
    <w:p>
      <w:pPr>
        <w:pStyle w:val="Compact"/>
        <w:numPr>
          <w:ilvl w:val="0"/>
          <w:numId w:val="1009"/>
        </w:numPr>
      </w:pPr>
      <w:r>
        <w:t xml:space="preserve">Wyo. R. Evid. 502.</w:t>
      </w:r>
    </w:p>
    <w:p>
      <w:pPr>
        <w:pStyle w:val="Compact"/>
        <w:numPr>
          <w:ilvl w:val="0"/>
          <w:numId w:val="1009"/>
        </w:numPr>
      </w:pPr>
      <w:r>
        <w:t xml:space="preserve">D.C. R. Evid. 502.</w:t>
      </w:r>
    </w:p>
    <w:p>
      <w:pPr>
        <w:pStyle w:val="FirstParagraph"/>
      </w:pPr>
      <w:r>
        <w:t xml:space="preserve">This article is general educational information, not legal advice. Privilege outcomes are fact‑specific, and you should consult qualified counsel about your jurisdiction, your vendor contracts, and your specific workflow before relying on any privilege position.</w:t>
      </w:r>
    </w:p>
    <w:bookmarkEnd w:id="44"/>
    <w:bookmarkEnd w:id="45"/>
    <w:bookmarkEnd w:id="46"/>
    <w:p>
      <w:r>
        <w:pict>
          <v:rect style="width:0;height:1.5pt" o:hralign="center" o:hrstd="t" o:hr="t"/>
        </w:pict>
      </w:r>
    </w:p>
    <w:bookmarkStart w:id="47" w:name="citations"/>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2026-02-19T04:35:42Z</dcterms:created>
  <dcterms:modified xsi:type="dcterms:W3CDTF">2026-02-19T04:35:42Z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