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pBdr>
          <w:bottom w:val="single" w:color="2A9D8F" w:sz="16" w:space="1"/>
        </w:pBdr>
        <w:spacing w:after="400"/>
      </w:pPr>
    </w:p>
    <w:p>
      <w:pPr>
        <w:spacing w:after="200"/>
      </w:pPr>
      <w:r>
        <w:rPr>
          <w:rFonts w:ascii="Arial" w:cs="Arial" w:eastAsia="Arial" w:hAnsi="Arial"/>
          <w:b/>
          <w:bCs/>
          <w:color w:val="1B2A4A"/>
          <w:sz w:val="56"/>
          <w:szCs w:val="56"/>
        </w:rPr>
        <w:t xml:space="preserve">AI Vendor Due Diligence</w:t>
      </w:r>
    </w:p>
    <w:p>
      <w:pPr>
        <w:spacing w:after="100"/>
      </w:pPr>
      <w:r>
        <w:rPr>
          <w:rFonts w:ascii="Arial" w:cs="Arial" w:eastAsia="Arial" w:hAnsi="Arial"/>
          <w:b/>
          <w:bCs/>
          <w:color w:val="1B2A4A"/>
          <w:sz w:val="56"/>
          <w:szCs w:val="56"/>
        </w:rPr>
        <w:t xml:space="preserve">for Legal Professionals</w:t>
      </w:r>
    </w:p>
    <w:p>
      <w:pPr>
        <w:spacing w:after="600"/>
      </w:pPr>
      <w:r>
        <w:rPr>
          <w:rFonts w:ascii="Arial" w:cs="Arial" w:eastAsia="Arial" w:hAnsi="Arial"/>
          <w:color w:val="2A9D8F"/>
          <w:sz w:val="28"/>
          <w:szCs w:val="28"/>
        </w:rPr>
        <w:t xml:space="preserve">A Practitioner’s Guide to Ethical AI Procurement</w:t>
      </w:r>
    </w:p>
    <w:p>
      <w:pPr>
        <w:pBdr>
          <w:bottom w:val="single" w:color="CBD5E0" w:sz="2" w:space="1"/>
        </w:pBdr>
        <w:spacing w:after="200" w:before="200"/>
      </w:pPr>
    </w:p>
    <w:p>
      <w:pPr>
        <w:spacing w:after="80"/>
      </w:pPr>
      <w:r>
        <w:rPr>
          <w:rFonts w:ascii="Arial" w:cs="Arial" w:eastAsia="Arial" w:hAnsi="Arial"/>
          <w:color w:val="718096"/>
          <w:sz w:val="22"/>
          <w:szCs w:val="22"/>
        </w:rPr>
        <w:t xml:space="preserve">Published by </w:t>
      </w:r>
      <w:r>
        <w:rPr>
          <w:rFonts w:ascii="Arial" w:cs="Arial" w:eastAsia="Arial" w:hAnsi="Arial"/>
          <w:b/>
          <w:bCs/>
          <w:color w:val="2A9D8F"/>
          <w:sz w:val="22"/>
          <w:szCs w:val="22"/>
        </w:rPr>
        <w:t xml:space="preserve">LegalTek.ai</w:t>
      </w:r>
    </w:p>
    <w:p>
      <w:pPr>
        <w:spacing w:after="80"/>
      </w:pPr>
      <w:r>
        <w:rPr>
          <w:rFonts w:ascii="Arial" w:cs="Arial" w:eastAsia="Arial" w:hAnsi="Arial"/>
          <w:color w:val="718096"/>
          <w:sz w:val="20"/>
          <w:szCs w:val="20"/>
        </w:rPr>
        <w:t xml:space="preserve">Author: Matt Mishak, Esq.  •  Founder &amp; CEO, LegalTek.ai LLC</w:t>
      </w:r>
    </w:p>
    <w:p>
      <w:pPr>
        <w:spacing w:after="80"/>
      </w:pPr>
      <w:r>
        <w:rPr>
          <w:rFonts w:ascii="Arial" w:cs="Arial" w:eastAsia="Arial" w:hAnsi="Arial"/>
          <w:color w:val="718096"/>
          <w:sz w:val="20"/>
          <w:szCs w:val="20"/>
        </w:rPr>
        <w:t xml:space="preserve">Managing Attorney, Mishak Law LLC  •  20 Years Ohio Legal Practice</w:t>
      </w:r>
    </w:p>
    <w:p>
      <w:pPr>
        <w:spacing w:after="80"/>
      </w:pPr>
      <w:r>
        <w:rPr>
          <w:rFonts w:ascii="Arial" w:cs="Arial" w:eastAsia="Arial" w:hAnsi="Arial"/>
          <w:color w:val="718096"/>
          <w:sz w:val="20"/>
          <w:szCs w:val="20"/>
        </w:rPr>
        <w:t xml:space="preserve">March 2026  •  v1.0</w:t>
      </w:r>
    </w:p>
    <w:p>
      <w:pPr>
        <w:spacing w:before="800"/>
      </w:pPr>
    </w:p>
    <w:p>
      <w:pPr>
        <w:spacing w:after="0"/>
      </w:pPr>
      <w:r>
        <w:rPr>
          <w:rFonts w:ascii="Arial" w:cs="Arial" w:eastAsia="Arial" w:hAnsi="Arial"/>
          <w:i/>
          <w:iCs/>
          <w:color w:val="718096"/>
          <w:sz w:val="16"/>
          <w:szCs w:val="16"/>
        </w:rPr>
        <w:t xml:space="preserve">This guide is provided for educational purposes. It does not constitute legal advice. Consult qualified counsel for jurisdiction-specific compliance obligations.</w:t>
      </w:r>
    </w:p>
    <w:p>
      <w:pPr>
        <w:sectPr>
          <w:pgSz w:w="12240" w:h="15840" w:orient="portrait"/>
          <w:pgMar w:top="1440" w:right="1440" w:bottom="1440" w:left="1440" w:header="708" w:footer="708" w:gutter="0"/>
          <w:pgNumType/>
          <w:docGrid w:linePitch="360"/>
        </w:sectPr>
      </w:pPr>
    </w:p>
    <w:p>
      <w:pPr>
        <w:pStyle w:val="Heading1"/>
      </w:pPr>
      <w:r>
        <w:t xml:space="preserve">Executive Summary</w:t>
      </w:r>
    </w:p>
    <w:p>
      <w:pPr>
        <w:spacing w:after="200" w:before="0" w:line="300"/>
        <w:jc w:val="left"/>
      </w:pPr>
      <w:r>
        <w:rPr>
          <w:rFonts w:ascii="Arial" w:cs="Arial" w:eastAsia="Arial" w:hAnsi="Arial"/>
          <w:color w:val="1A202C"/>
          <w:sz w:val="22"/>
          <w:szCs w:val="22"/>
        </w:rPr>
        <w:t xml:space="preserve">Legal teams are under enormous pressure to adopt AI tools. The pressure is justified—these tools deliver measurable efficiency gains in document review, legal research, drafting, and client communication. But adoption velocity cannot come at the cost of foundational due diligence.</w:t>
      </w:r>
    </w:p>
    <w:p>
      <w:pPr>
        <w:spacing w:after="200" w:before="0" w:line="300"/>
        <w:jc w:val="left"/>
      </w:pPr>
      <w:r>
        <w:rPr>
          <w:rFonts w:ascii="Arial" w:cs="Arial" w:eastAsia="Arial" w:hAnsi="Arial"/>
          <w:color w:val="1A202C"/>
          <w:sz w:val="22"/>
          <w:szCs w:val="22"/>
        </w:rPr>
        <w:t xml:space="preserve">Too many firms treat vendor evaluation as a feature-comparison exercise supplemented by a checkbox security questionnaire. The result: foundational questions about data governance, model training, and exit rights surface only after implementation begins—when they become expensive problems rather than informed procurement decisions.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sz="0"/>
              <w:left w:val="single" w:color="2A9D8F" w:sz="12"/>
              <w:bottom w:val="none" w:sz="0"/>
              <w:right w:val="none" w:sz="0"/>
            </w:tcBorders>
            <w:shd w:fill="E6F6F4" w:val="clear"/>
            <w:tcMar>
              <w:top w:type="dxa" w:w="160"/>
              <w:left w:type="dxa" w:w="240"/>
              <w:bottom w:type="dxa" w:w="160"/>
              <w:right w:type="dxa" w:w="240"/>
            </w:tcMar>
          </w:tcPr>
          <w:p>
            <w:pPr>
              <w:spacing w:after="80" w:before="0" w:line="300"/>
              <w:jc w:val="left"/>
            </w:pPr>
            <w:r>
              <w:rPr>
                <w:rFonts w:ascii="Arial" w:cs="Arial" w:eastAsia="Arial" w:hAnsi="Arial"/>
                <w:b/>
                <w:bCs/>
                <w:color w:val="1B2A4A"/>
                <w:sz w:val="22"/>
                <w:szCs w:val="22"/>
              </w:rPr>
              <w:t xml:space="preserve">The Core Insight: </w:t>
            </w:r>
            <w:r>
              <w:rPr>
                <w:rFonts w:ascii="Arial" w:cs="Arial" w:eastAsia="Arial" w:hAnsi="Arial"/>
                <w:color w:val="1A202C"/>
                <w:sz w:val="22"/>
                <w:szCs w:val="22"/>
              </w:rPr>
              <w:t xml:space="preserve">As Colin Levy has articulated, three foundational questions consistently separate vendors who understand legal practice from those treating law firms as generic enterprise customers: </w:t>
            </w:r>
            <w:r>
              <w:rPr>
                <w:rFonts w:ascii="Arial" w:cs="Arial" w:eastAsia="Arial" w:hAnsi="Arial"/>
                <w:b/>
                <w:bCs/>
                <w:i/>
                <w:iCs/>
                <w:color w:val="2A9D8F"/>
                <w:sz w:val="22"/>
                <w:szCs w:val="22"/>
              </w:rPr>
              <w:t xml:space="preserve">Where is our data stored? Is our data used to train models? What happens to our data when we leave?</w:t>
            </w:r>
          </w:p>
          <w:p>
            <w:pPr>
              <w:spacing w:after="200" w:before="0" w:line="300"/>
              <w:jc w:val="left"/>
            </w:pPr>
            <w:r>
              <w:rPr>
                <w:rStyle w:val="FootnoteReference"/>
              </w:rPr>
              <w:footnoteReference w:id="2"/>
            </w:r>
          </w:p>
        </w:tc>
      </w:tr>
    </w:tbl>
    <w:p>
      <w:pPr>
        <w:spacing w:after="200" w:before="0" w:line="300"/>
        <w:jc w:val="left"/>
      </w:pPr>
      <w:r>
        <w:rPr>
          <w:rFonts w:ascii="Arial" w:cs="Arial" w:eastAsia="Arial" w:hAnsi="Arial"/>
          <w:color w:val="1A202C"/>
          <w:sz w:val="22"/>
          <w:szCs w:val="22"/>
        </w:rPr>
        <w:t xml:space="preserve">This guide expands those three questions into a comprehensive due diligence framework, mapping each inquiry to its governing ethics rules, emerging regulatory mandates, and practical evaluation criteria. It is designed for solo practitioners, small-firm managing attorneys, and legal operations professionals evaluating AI tools for deployment in client-facing legal work.</w:t>
      </w:r>
    </w:p>
    <w:p>
      <w:pPr>
        <w:pBdr>
          <w:bottom w:val="single" w:color="CBD5E0" w:sz="2" w:space="1"/>
        </w:pBdr>
        <w:spacing w:after="200" w:before="200"/>
      </w:pPr>
    </w:p>
    <w:p>
      <w:pPr>
        <w:pStyle w:val="Heading1"/>
      </w:pPr>
      <w:r>
        <w:t xml:space="preserve">The Regulatory and Ethical Landscape</w:t>
      </w:r>
    </w:p>
    <w:p>
      <w:pPr>
        <w:spacing w:after="200" w:before="0" w:line="300"/>
        <w:jc w:val="left"/>
      </w:pPr>
      <w:r>
        <w:rPr>
          <w:rFonts w:ascii="Arial" w:cs="Arial" w:eastAsia="Arial" w:hAnsi="Arial"/>
          <w:color w:val="1A202C"/>
          <w:sz w:val="22"/>
          <w:szCs w:val="22"/>
        </w:rPr>
        <w:t xml:space="preserve">Before evaluating any individual vendor, practitioners must understand the converging regulatory frameworks that now govern the use of AI in legal practice. What was once a matter of best practices has become a web of mandatory obligations spanning ethics rules, federal and state legislation, and international regulation.</w:t>
      </w:r>
    </w:p>
    <w:p>
      <w:pPr>
        <w:pStyle w:val="Heading2"/>
      </w:pPr>
      <w:r>
        <w:t xml:space="preserve">ABA Formal Opinion 512: The National Baseline</w:t>
      </w:r>
    </w:p>
    <w:p>
      <w:pPr>
        <w:spacing w:after="200" w:before="0" w:line="300"/>
        <w:jc w:val="left"/>
      </w:pPr>
      <w:r>
        <w:rPr>
          <w:rFonts w:ascii="Arial" w:cs="Arial" w:eastAsia="Arial" w:hAnsi="Arial"/>
          <w:color w:val="1A202C"/>
          <w:sz w:val="22"/>
          <w:szCs w:val="22"/>
        </w:rPr>
        <w:t xml:space="preserve">On July 29, 2024, the ABA Standing Committee on Ethics and Professional Responsibility issued Formal Opinion 512—its first formal guidance on generative AI in legal practice.</w:t>
      </w:r>
      <w:r>
        <w:rPr>
          <w:rStyle w:val="FootnoteReference"/>
        </w:rPr>
        <w:footnoteReference w:id="1"/>
      </w:r>
      <w:r>
        <w:rPr>
          <w:rFonts w:ascii="Arial" w:cs="Arial" w:eastAsia="Arial" w:hAnsi="Arial"/>
          <w:color w:val="1A202C"/>
          <w:sz w:val="22"/>
          <w:szCs w:val="22"/>
        </w:rPr>
        <w:t xml:space="preserve"> The opinion established that lawyers deploying AI tools must fully evaluate their ethical obligations across six dimensions of the Model Rules of Professional Conduct.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BD5E0" w:sz="1"/>
              <w:left w:val="single" w:color="CBD5E0" w:sz="1"/>
              <w:bottom w:val="single" w:color="CBD5E0" w:sz="1"/>
              <w:right w:val="single" w:color="CBD5E0" w:sz="1"/>
            </w:tcBorders>
            <w:shd w:fill="1B2A4A" w:val="clear"/>
            <w:tcMar>
              <w:top w:type="dxa" w:w="100"/>
              <w:left w:type="dxa" w:w="140"/>
              <w:bottom w:type="dxa" w:w="100"/>
              <w:right w:type="dxa" w:w="140"/>
            </w:tcMar>
          </w:tcPr>
          <w:p>
            <w:pPr>
              <w:spacing w:after="200" w:before="0" w:line="300"/>
              <w:jc w:val="left"/>
            </w:pPr>
            <w:r>
              <w:rPr>
                <w:rFonts w:ascii="Arial" w:cs="Arial" w:eastAsia="Arial" w:hAnsi="Arial"/>
                <w:b/>
                <w:bCs/>
                <w:color w:val="FFFFFF"/>
                <w:sz w:val="22"/>
                <w:szCs w:val="22"/>
              </w:rPr>
              <w:t xml:space="preserve">Model Rule</w:t>
            </w:r>
          </w:p>
        </w:tc>
        <w:tc>
          <w:tcPr>
            <w:tcW w:type="dxa" w:w="6560"/>
            <w:tcBorders>
              <w:top w:val="single" w:color="CBD5E0" w:sz="1"/>
              <w:left w:val="single" w:color="CBD5E0" w:sz="1"/>
              <w:bottom w:val="single" w:color="CBD5E0" w:sz="1"/>
              <w:right w:val="single" w:color="CBD5E0" w:sz="1"/>
            </w:tcBorders>
            <w:shd w:fill="1B2A4A" w:val="clear"/>
            <w:tcMar>
              <w:top w:type="dxa" w:w="100"/>
              <w:left w:type="dxa" w:w="140"/>
              <w:bottom w:type="dxa" w:w="100"/>
              <w:right w:type="dxa" w:w="140"/>
            </w:tcMar>
          </w:tcPr>
          <w:p>
            <w:pPr>
              <w:spacing w:after="200" w:before="0" w:line="300"/>
              <w:jc w:val="left"/>
            </w:pPr>
            <w:r>
              <w:rPr>
                <w:rFonts w:ascii="Arial" w:cs="Arial" w:eastAsia="Arial" w:hAnsi="Arial"/>
                <w:b/>
                <w:bCs/>
                <w:color w:val="FFFFFF"/>
                <w:sz w:val="22"/>
                <w:szCs w:val="22"/>
              </w:rPr>
              <w:t xml:space="preserve">AI Vendor Due Diligence Obligation</w:t>
            </w:r>
          </w:p>
        </w:tc>
      </w:tr>
      <w:tr>
        <w:tc>
          <w:tcPr>
            <w:tcW w:type="dxa" w:w="2800"/>
            <w:tcBorders>
              <w:top w:val="single" w:color="CBD5E0" w:sz="1"/>
              <w:left w:val="single" w:color="CBD5E0" w:sz="1"/>
              <w:bottom w:val="single" w:color="CBD5E0" w:sz="1"/>
              <w:right w:val="single" w:color="CBD5E0" w:sz="1"/>
            </w:tcBorders>
            <w:shd w:fill="E6F6F4" w:val="clear"/>
            <w:tcMar>
              <w:top w:type="dxa" w:w="100"/>
              <w:left w:type="dxa" w:w="140"/>
              <w:bottom w:type="dxa" w:w="100"/>
              <w:right w:type="dxa" w:w="140"/>
            </w:tcMar>
          </w:tcPr>
          <w:p>
            <w:pPr>
              <w:spacing w:after="200" w:before="0" w:line="300"/>
              <w:jc w:val="left"/>
            </w:pPr>
            <w:r>
              <w:rPr>
                <w:rFonts w:ascii="Arial" w:cs="Arial" w:eastAsia="Arial" w:hAnsi="Arial"/>
                <w:b/>
                <w:bCs/>
                <w:color w:val="1A202C"/>
                <w:sz w:val="20"/>
                <w:szCs w:val="20"/>
              </w:rPr>
              <w:t xml:space="preserve">Rule 1.1 (Competence)</w:t>
            </w:r>
          </w:p>
        </w:tc>
        <w:tc>
          <w:tcPr>
            <w:tcW w:type="dxa" w:w="6560"/>
            <w:tcBorders>
              <w:top w:val="single" w:color="CBD5E0" w:sz="1"/>
              <w:left w:val="single" w:color="CBD5E0" w:sz="1"/>
              <w:bottom w:val="single" w:color="CBD5E0" w:sz="1"/>
              <w:right w:val="single" w:color="CBD5E0" w:sz="1"/>
            </w:tcBorders>
            <w:tcMar>
              <w:top w:type="dxa" w:w="100"/>
              <w:left w:type="dxa" w:w="140"/>
              <w:bottom w:type="dxa" w:w="100"/>
              <w:right w:type="dxa" w:w="140"/>
            </w:tcMar>
          </w:tcPr>
          <w:p>
            <w:pPr>
              <w:spacing w:after="200" w:before="0" w:line="300"/>
              <w:jc w:val="left"/>
            </w:pPr>
            <w:r>
              <w:rPr>
                <w:rFonts w:ascii="Arial" w:cs="Arial" w:eastAsia="Arial" w:hAnsi="Arial"/>
                <w:color w:val="1A202C"/>
                <w:sz w:val="20"/>
                <w:szCs w:val="20"/>
              </w:rPr>
              <w:t xml:space="preserve">Understand the capabilities and limitations of AI tools used; maintain ongoing technological competence; verify AI outputs independently before reliance.</w:t>
            </w:r>
          </w:p>
        </w:tc>
      </w:tr>
      <w:tr>
        <w:tc>
          <w:tcPr>
            <w:tcW w:type="dxa" w:w="2800"/>
            <w:tcBorders>
              <w:top w:val="single" w:color="CBD5E0" w:sz="1"/>
              <w:left w:val="single" w:color="CBD5E0" w:sz="1"/>
              <w:bottom w:val="single" w:color="CBD5E0" w:sz="1"/>
              <w:right w:val="single" w:color="CBD5E0" w:sz="1"/>
            </w:tcBorders>
            <w:shd w:fill="E6F6F4" w:val="clear"/>
            <w:tcMar>
              <w:top w:type="dxa" w:w="100"/>
              <w:left w:type="dxa" w:w="140"/>
              <w:bottom w:type="dxa" w:w="100"/>
              <w:right w:type="dxa" w:w="140"/>
            </w:tcMar>
          </w:tcPr>
          <w:p>
            <w:pPr>
              <w:spacing w:after="200" w:before="0" w:line="300"/>
              <w:jc w:val="left"/>
            </w:pPr>
            <w:r>
              <w:rPr>
                <w:rFonts w:ascii="Arial" w:cs="Arial" w:eastAsia="Arial" w:hAnsi="Arial"/>
                <w:b/>
                <w:bCs/>
                <w:color w:val="1A202C"/>
                <w:sz w:val="20"/>
                <w:szCs w:val="20"/>
              </w:rPr>
              <w:t xml:space="preserve">Rule 1.4 (Communication)</w:t>
            </w:r>
          </w:p>
        </w:tc>
        <w:tc>
          <w:tcPr>
            <w:tcW w:type="dxa" w:w="6560"/>
            <w:tcBorders>
              <w:top w:val="single" w:color="CBD5E0" w:sz="1"/>
              <w:left w:val="single" w:color="CBD5E0" w:sz="1"/>
              <w:bottom w:val="single" w:color="CBD5E0" w:sz="1"/>
              <w:right w:val="single" w:color="CBD5E0" w:sz="1"/>
            </w:tcBorders>
            <w:tcMar>
              <w:top w:type="dxa" w:w="100"/>
              <w:left w:type="dxa" w:w="140"/>
              <w:bottom w:type="dxa" w:w="100"/>
              <w:right w:type="dxa" w:w="140"/>
            </w:tcMar>
          </w:tcPr>
          <w:p>
            <w:pPr>
              <w:spacing w:after="200" w:before="0" w:line="300"/>
              <w:jc w:val="left"/>
            </w:pPr>
            <w:r>
              <w:rPr>
                <w:rFonts w:ascii="Arial" w:cs="Arial" w:eastAsia="Arial" w:hAnsi="Arial"/>
                <w:color w:val="1A202C"/>
                <w:sz w:val="20"/>
                <w:szCs w:val="20"/>
              </w:rPr>
              <w:t xml:space="preserve">Disclose AI usage to clients when material to representation; secure informed consent for AI-assisted work beyond routine applications.</w:t>
            </w:r>
          </w:p>
        </w:tc>
      </w:tr>
      <w:tr>
        <w:tc>
          <w:tcPr>
            <w:tcW w:type="dxa" w:w="2800"/>
            <w:tcBorders>
              <w:top w:val="single" w:color="CBD5E0" w:sz="1"/>
              <w:left w:val="single" w:color="CBD5E0" w:sz="1"/>
              <w:bottom w:val="single" w:color="CBD5E0" w:sz="1"/>
              <w:right w:val="single" w:color="CBD5E0" w:sz="1"/>
            </w:tcBorders>
            <w:shd w:fill="E6F6F4" w:val="clear"/>
            <w:tcMar>
              <w:top w:type="dxa" w:w="100"/>
              <w:left w:type="dxa" w:w="140"/>
              <w:bottom w:type="dxa" w:w="100"/>
              <w:right w:type="dxa" w:w="140"/>
            </w:tcMar>
          </w:tcPr>
          <w:p>
            <w:pPr>
              <w:spacing w:after="200" w:before="0" w:line="300"/>
              <w:jc w:val="left"/>
            </w:pPr>
            <w:r>
              <w:rPr>
                <w:rFonts w:ascii="Arial" w:cs="Arial" w:eastAsia="Arial" w:hAnsi="Arial"/>
                <w:b/>
                <w:bCs/>
                <w:color w:val="1A202C"/>
                <w:sz w:val="20"/>
                <w:szCs w:val="20"/>
              </w:rPr>
              <w:t xml:space="preserve">Rule 1.5 (Fees)</w:t>
            </w:r>
          </w:p>
        </w:tc>
        <w:tc>
          <w:tcPr>
            <w:tcW w:type="dxa" w:w="6560"/>
            <w:tcBorders>
              <w:top w:val="single" w:color="CBD5E0" w:sz="1"/>
              <w:left w:val="single" w:color="CBD5E0" w:sz="1"/>
              <w:bottom w:val="single" w:color="CBD5E0" w:sz="1"/>
              <w:right w:val="single" w:color="CBD5E0" w:sz="1"/>
            </w:tcBorders>
            <w:tcMar>
              <w:top w:type="dxa" w:w="100"/>
              <w:left w:type="dxa" w:w="140"/>
              <w:bottom w:type="dxa" w:w="100"/>
              <w:right w:type="dxa" w:w="140"/>
            </w:tcMar>
          </w:tcPr>
          <w:p>
            <w:pPr>
              <w:spacing w:after="200" w:before="0" w:line="300"/>
              <w:jc w:val="left"/>
            </w:pPr>
            <w:r>
              <w:rPr>
                <w:rFonts w:ascii="Arial" w:cs="Arial" w:eastAsia="Arial" w:hAnsi="Arial"/>
                <w:color w:val="1A202C"/>
                <w:sz w:val="20"/>
                <w:szCs w:val="20"/>
              </w:rPr>
              <w:t xml:space="preserve">Ensure fees reflect actual value delivered; do not bill clients for time spent learning generally-applicable AI tools; disclose AI-related costs transparently.</w:t>
            </w:r>
          </w:p>
        </w:tc>
      </w:tr>
      <w:tr>
        <w:tc>
          <w:tcPr>
            <w:tcW w:type="dxa" w:w="2800"/>
            <w:tcBorders>
              <w:top w:val="single" w:color="CBD5E0" w:sz="1"/>
              <w:left w:val="single" w:color="CBD5E0" w:sz="1"/>
              <w:bottom w:val="single" w:color="CBD5E0" w:sz="1"/>
              <w:right w:val="single" w:color="CBD5E0" w:sz="1"/>
            </w:tcBorders>
            <w:shd w:fill="E6F6F4" w:val="clear"/>
            <w:tcMar>
              <w:top w:type="dxa" w:w="100"/>
              <w:left w:type="dxa" w:w="140"/>
              <w:bottom w:type="dxa" w:w="100"/>
              <w:right w:type="dxa" w:w="140"/>
            </w:tcMar>
          </w:tcPr>
          <w:p>
            <w:pPr>
              <w:spacing w:after="200" w:before="0" w:line="300"/>
              <w:jc w:val="left"/>
            </w:pPr>
            <w:r>
              <w:rPr>
                <w:rFonts w:ascii="Arial" w:cs="Arial" w:eastAsia="Arial" w:hAnsi="Arial"/>
                <w:b/>
                <w:bCs/>
                <w:color w:val="1A202C"/>
                <w:sz w:val="20"/>
                <w:szCs w:val="20"/>
              </w:rPr>
              <w:t xml:space="preserve">Rule 1.6 (Confidentiality)</w:t>
            </w:r>
          </w:p>
        </w:tc>
        <w:tc>
          <w:tcPr>
            <w:tcW w:type="dxa" w:w="6560"/>
            <w:tcBorders>
              <w:top w:val="single" w:color="CBD5E0" w:sz="1"/>
              <w:left w:val="single" w:color="CBD5E0" w:sz="1"/>
              <w:bottom w:val="single" w:color="CBD5E0" w:sz="1"/>
              <w:right w:val="single" w:color="CBD5E0" w:sz="1"/>
            </w:tcBorders>
            <w:tcMar>
              <w:top w:type="dxa" w:w="100"/>
              <w:left w:type="dxa" w:w="140"/>
              <w:bottom w:type="dxa" w:w="100"/>
              <w:right w:type="dxa" w:w="140"/>
            </w:tcMar>
          </w:tcPr>
          <w:p>
            <w:pPr>
              <w:spacing w:after="200" w:before="0" w:line="300"/>
              <w:jc w:val="left"/>
            </w:pPr>
            <w:r>
              <w:rPr>
                <w:rFonts w:ascii="Arial" w:cs="Arial" w:eastAsia="Arial" w:hAnsi="Arial"/>
                <w:color w:val="1A202C"/>
                <w:sz w:val="20"/>
                <w:szCs w:val="20"/>
              </w:rPr>
              <w:t xml:space="preserve">Assess vendor data handling before inputting client information; secure informed consent (beyond boilerplate) for self-learning tools; implement adequate safeguards against disclosure.</w:t>
            </w:r>
          </w:p>
        </w:tc>
      </w:tr>
      <w:tr>
        <w:tc>
          <w:tcPr>
            <w:tcW w:type="dxa" w:w="2800"/>
            <w:tcBorders>
              <w:top w:val="single" w:color="CBD5E0" w:sz="1"/>
              <w:left w:val="single" w:color="CBD5E0" w:sz="1"/>
              <w:bottom w:val="single" w:color="CBD5E0" w:sz="1"/>
              <w:right w:val="single" w:color="CBD5E0" w:sz="1"/>
            </w:tcBorders>
            <w:shd w:fill="E6F6F4" w:val="clear"/>
            <w:tcMar>
              <w:top w:type="dxa" w:w="100"/>
              <w:left w:type="dxa" w:w="140"/>
              <w:bottom w:type="dxa" w:w="100"/>
              <w:right w:type="dxa" w:w="140"/>
            </w:tcMar>
          </w:tcPr>
          <w:p>
            <w:pPr>
              <w:spacing w:after="200" w:before="0" w:line="300"/>
              <w:jc w:val="left"/>
            </w:pPr>
            <w:r>
              <w:rPr>
                <w:rFonts w:ascii="Arial" w:cs="Arial" w:eastAsia="Arial" w:hAnsi="Arial"/>
                <w:b/>
                <w:bCs/>
                <w:color w:val="1A202C"/>
                <w:sz w:val="20"/>
                <w:szCs w:val="20"/>
              </w:rPr>
              <w:t xml:space="preserve">Rules 3.1 &amp; 3.3 (Candor)</w:t>
            </w:r>
          </w:p>
        </w:tc>
        <w:tc>
          <w:tcPr>
            <w:tcW w:type="dxa" w:w="6560"/>
            <w:tcBorders>
              <w:top w:val="single" w:color="CBD5E0" w:sz="1"/>
              <w:left w:val="single" w:color="CBD5E0" w:sz="1"/>
              <w:bottom w:val="single" w:color="CBD5E0" w:sz="1"/>
              <w:right w:val="single" w:color="CBD5E0" w:sz="1"/>
            </w:tcBorders>
            <w:tcMar>
              <w:top w:type="dxa" w:w="100"/>
              <w:left w:type="dxa" w:w="140"/>
              <w:bottom w:type="dxa" w:w="100"/>
              <w:right w:type="dxa" w:w="140"/>
            </w:tcMar>
          </w:tcPr>
          <w:p>
            <w:pPr>
              <w:spacing w:after="200" w:before="0" w:line="300"/>
              <w:jc w:val="left"/>
            </w:pPr>
            <w:r>
              <w:rPr>
                <w:rFonts w:ascii="Arial" w:cs="Arial" w:eastAsia="Arial" w:hAnsi="Arial"/>
                <w:color w:val="1A202C"/>
                <w:sz w:val="20"/>
                <w:szCs w:val="20"/>
              </w:rPr>
              <w:t xml:space="preserve">Guard against AI hallucinations forming the basis of claims or representations to tribunals; independently verify all AI-generated legal citations and analysis.</w:t>
            </w:r>
          </w:p>
        </w:tc>
      </w:tr>
      <w:tr>
        <w:tc>
          <w:tcPr>
            <w:tcW w:type="dxa" w:w="2800"/>
            <w:tcBorders>
              <w:top w:val="single" w:color="CBD5E0" w:sz="1"/>
              <w:left w:val="single" w:color="CBD5E0" w:sz="1"/>
              <w:bottom w:val="single" w:color="CBD5E0" w:sz="1"/>
              <w:right w:val="single" w:color="CBD5E0" w:sz="1"/>
            </w:tcBorders>
            <w:shd w:fill="E6F6F4" w:val="clear"/>
            <w:tcMar>
              <w:top w:type="dxa" w:w="100"/>
              <w:left w:type="dxa" w:w="140"/>
              <w:bottom w:type="dxa" w:w="100"/>
              <w:right w:type="dxa" w:w="140"/>
            </w:tcMar>
          </w:tcPr>
          <w:p>
            <w:pPr>
              <w:spacing w:after="200" w:before="0" w:line="300"/>
              <w:jc w:val="left"/>
            </w:pPr>
            <w:r>
              <w:rPr>
                <w:rFonts w:ascii="Arial" w:cs="Arial" w:eastAsia="Arial" w:hAnsi="Arial"/>
                <w:b/>
                <w:bCs/>
                <w:color w:val="1A202C"/>
                <w:sz w:val="20"/>
                <w:szCs w:val="20"/>
              </w:rPr>
              <w:t xml:space="preserve">Rules 5.1 &amp; 5.3 (Supervision)</w:t>
            </w:r>
          </w:p>
        </w:tc>
        <w:tc>
          <w:tcPr>
            <w:tcW w:type="dxa" w:w="6560"/>
            <w:tcBorders>
              <w:top w:val="single" w:color="CBD5E0" w:sz="1"/>
              <w:left w:val="single" w:color="CBD5E0" w:sz="1"/>
              <w:bottom w:val="single" w:color="CBD5E0" w:sz="1"/>
              <w:right w:val="single" w:color="CBD5E0" w:sz="1"/>
            </w:tcBorders>
            <w:tcMar>
              <w:top w:type="dxa" w:w="100"/>
              <w:left w:type="dxa" w:w="140"/>
              <w:bottom w:type="dxa" w:w="100"/>
              <w:right w:type="dxa" w:w="140"/>
            </w:tcMar>
          </w:tcPr>
          <w:p>
            <w:pPr>
              <w:spacing w:after="200" w:before="0" w:line="300"/>
              <w:jc w:val="left"/>
            </w:pPr>
            <w:r>
              <w:rPr>
                <w:rFonts w:ascii="Arial" w:cs="Arial" w:eastAsia="Arial" w:hAnsi="Arial"/>
                <w:color w:val="1A202C"/>
                <w:sz w:val="20"/>
                <w:szCs w:val="20"/>
              </w:rPr>
              <w:t xml:space="preserve">Establish firm-wide AI usage policies; train both attorneys and non-attorney staff; ensure outsourced AI-assisted work complies with professional obligations.</w:t>
            </w:r>
          </w:p>
        </w:tc>
      </w:tr>
    </w:tbl>
    <w:p>
      <w:pPr>
        <w:spacing w:after="200" w:before="0" w:line="300"/>
        <w:jc w:val="left"/>
      </w:pPr>
      <w:r>
        <w:rPr>
          <w:rFonts w:ascii="Arial" w:cs="Arial" w:eastAsia="Arial" w:hAnsi="Arial"/>
          <w:color w:val="1A202C"/>
          <w:sz w:val="22"/>
          <w:szCs w:val="22"/>
        </w:rPr>
        <w:t xml:space="preserve"/>
      </w:r>
    </w:p>
    <w:p>
      <w:pPr>
        <w:pStyle w:val="Heading2"/>
      </w:pPr>
      <w:r>
        <w:t xml:space="preserve">Ohio-Specific Considerations</w:t>
      </w:r>
    </w:p>
    <w:p>
      <w:pPr>
        <w:spacing w:after="200" w:before="0" w:line="300"/>
        <w:jc w:val="left"/>
      </w:pPr>
      <w:r>
        <w:rPr>
          <w:rFonts w:ascii="Arial" w:cs="Arial" w:eastAsia="Arial" w:hAnsi="Arial"/>
          <w:color w:val="1A202C"/>
          <w:sz w:val="22"/>
          <w:szCs w:val="22"/>
        </w:rPr>
        <w:t xml:space="preserve">Ohio’s Rules of Professional Conduct mirror the ABA Model Rules with some important practical distinctions. Ohio Rule 1.1, Comment [8] explicitly includes technological competence within the duty of competence—meaning Ohio attorneys have an affirmative obligation to understand the technology they deploy in client matters.</w:t>
      </w:r>
      <w:r>
        <w:rPr>
          <w:rStyle w:val="FootnoteReference"/>
        </w:rPr>
        <w:footnoteReference w:id="5"/>
      </w:r>
    </w:p>
    <w:p>
      <w:pPr>
        <w:spacing w:after="200" w:before="0" w:line="300"/>
        <w:jc w:val="left"/>
      </w:pPr>
      <w:r>
        <w:rPr>
          <w:rFonts w:ascii="Arial" w:cs="Arial" w:eastAsia="Arial" w:hAnsi="Arial"/>
          <w:color w:val="1A202C"/>
          <w:sz w:val="22"/>
          <w:szCs w:val="22"/>
        </w:rPr>
        <w:t xml:space="preserve">For Ohio family law practitioners specifically, the stakes are heightened. Financial affidavits, custody evaluations, and domestic relations filings involve highly sensitive personal and financial data. Feeding this information into an AI system without understanding the vendor’s data practices creates direct exposure under Ohio Rule 1.6 and may constitute a breach of fiduciary duty to the client.</w:t>
      </w:r>
    </w:p>
    <w:p>
      <w:pPr>
        <w:pStyle w:val="Heading2"/>
      </w:pPr>
      <w:r>
        <w:t xml:space="preserve">Emerging Regulatory Mandates</w:t>
      </w:r>
    </w:p>
    <w:p>
      <w:pPr>
        <w:spacing w:after="200" w:before="0" w:line="300"/>
        <w:jc w:val="left"/>
      </w:pPr>
      <w:r>
        <w:rPr>
          <w:rFonts w:ascii="Arial" w:cs="Arial" w:eastAsia="Arial" w:hAnsi="Arial"/>
          <w:b/>
          <w:bCs/>
          <w:color w:val="1B2A4A"/>
          <w:sz w:val="22"/>
          <w:szCs w:val="22"/>
        </w:rPr>
        <w:t xml:space="preserve">EU AI Act (Regulation 2024/1689): </w:t>
      </w:r>
      <w:r>
        <w:rPr>
          <w:rFonts w:ascii="Arial" w:cs="Arial" w:eastAsia="Arial" w:hAnsi="Arial"/>
          <w:color w:val="1A202C"/>
          <w:sz w:val="22"/>
          <w:szCs w:val="22"/>
        </w:rPr>
        <w:t xml:space="preserve">The GPAI transparency obligations took effect August 2, 2025, requiring providers of general-purpose AI models to publish detailed summaries of training data, disclose data sources (including web-scraped and user data), and demonstrate copyright compliance. While primarily targeting European markets, these obligations create transparency benchmarks that sophisticated U.S. legal buyers should demand from any vendor operating internationally.</w:t>
      </w:r>
    </w:p>
    <w:p>
      <w:pPr>
        <w:spacing w:after="200" w:before="0" w:line="300"/>
        <w:jc w:val="left"/>
      </w:pPr>
      <w:r>
        <w:rPr>
          <w:rStyle w:val="FootnoteReference"/>
        </w:rPr>
        <w:footnoteReference w:id="3"/>
      </w:r>
    </w:p>
    <w:p>
      <w:pPr>
        <w:spacing w:after="200" w:before="0" w:line="300"/>
        <w:jc w:val="left"/>
      </w:pPr>
      <w:r>
        <w:rPr>
          <w:rFonts w:ascii="Arial" w:cs="Arial" w:eastAsia="Arial" w:hAnsi="Arial"/>
          <w:b/>
          <w:bCs/>
          <w:color w:val="1B2A4A"/>
          <w:sz w:val="22"/>
          <w:szCs w:val="22"/>
        </w:rPr>
        <w:t xml:space="preserve">California AB 2013: </w:t>
      </w:r>
      <w:r>
        <w:rPr>
          <w:rFonts w:ascii="Arial" w:cs="Arial" w:eastAsia="Arial" w:hAnsi="Arial"/>
          <w:color w:val="1A202C"/>
          <w:sz w:val="22"/>
          <w:szCs w:val="22"/>
        </w:rPr>
        <w:t xml:space="preserve">Effective January 1, 2026, this statute mandates that developers of generative AI systems publicly disclose documentation regarding the datasets used to train their models, including whether training data is stored domestically or internationally. Even for firms outside California, AB 2013 creates a disclosure standard that will likely influence vendor practices nationwide.</w:t>
      </w:r>
    </w:p>
    <w:p>
      <w:pPr>
        <w:spacing w:after="200" w:before="0" w:line="300"/>
        <w:jc w:val="left"/>
      </w:pPr>
      <w:r>
        <w:rPr>
          <w:rStyle w:val="FootnoteReference"/>
        </w:rPr>
        <w:footnoteReference w:id="4"/>
      </w:r>
    </w:p>
    <w:p>
      <w:pPr>
        <w:spacing w:after="200" w:before="0" w:line="300"/>
        <w:jc w:val="left"/>
      </w:pPr>
      <w:r>
        <w:rPr>
          <w:rFonts w:ascii="Arial" w:cs="Arial" w:eastAsia="Arial" w:hAnsi="Arial"/>
          <w:b/>
          <w:bCs/>
          <w:color w:val="1B2A4A"/>
          <w:sz w:val="22"/>
          <w:szCs w:val="22"/>
        </w:rPr>
        <w:t xml:space="preserve">CCPA/CPRA: </w:t>
      </w:r>
      <w:r>
        <w:rPr>
          <w:rFonts w:ascii="Arial" w:cs="Arial" w:eastAsia="Arial" w:hAnsi="Arial"/>
          <w:color w:val="1A202C"/>
          <w:sz w:val="22"/>
          <w:szCs w:val="22"/>
        </w:rPr>
        <w:t xml:space="preserve">California’s privacy framework grants individuals data portability and deletion rights that apply to personal information held by AI vendors. When client data flows into vendor systems, these rights create compliance obligations that persist even after the attorney-client relationship—or the vendor relationship—ends.</w:t>
      </w:r>
    </w:p>
    <w:p>
      <w:pPr>
        <w:pBdr>
          <w:bottom w:val="single" w:color="CBD5E0" w:sz="2" w:space="1"/>
        </w:pBdr>
        <w:spacing w:after="200" w:before="200"/>
      </w:pPr>
    </w:p>
    <w:p>
      <w:pPr>
        <w:pStyle w:val="Heading1"/>
      </w:pPr>
      <w:r>
        <w:t xml:space="preserve">The Three Foundational Questions</w:t>
      </w:r>
    </w:p>
    <w:p>
      <w:pPr>
        <w:spacing w:after="200" w:before="0" w:line="300"/>
        <w:jc w:val="left"/>
      </w:pPr>
      <w:r>
        <w:rPr>
          <w:rFonts w:ascii="Arial" w:cs="Arial" w:eastAsia="Arial" w:hAnsi="Arial"/>
          <w:color w:val="1A202C"/>
          <w:sz w:val="22"/>
          <w:szCs w:val="22"/>
        </w:rPr>
        <w:t xml:space="preserve">Building on the framework articulated by Colin Levy and grounding each question in its governing regulatory and ethical authority, the following three inquiries should function as threshold evaluations—not afterthoughts buried in an RFP appendix.</w:t>
      </w:r>
    </w:p>
    <w:p>
      <w:pPr>
        <w:pStyle w:val="Heading2"/>
      </w:pPr>
      <w:r>
        <w:t xml:space="preserve">Question 1: Where Is Our Data Stored?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sz="0"/>
              <w:left w:val="single" w:color="2A9D8F" w:sz="12"/>
              <w:bottom w:val="none" w:sz="0"/>
              <w:right w:val="none" w:sz="0"/>
            </w:tcBorders>
            <w:shd w:fill="E6F6F4" w:val="clear"/>
            <w:tcMar>
              <w:top w:type="dxa" w:w="160"/>
              <w:left w:type="dxa" w:w="240"/>
              <w:bottom w:type="dxa" w:w="160"/>
              <w:right w:type="dxa" w:w="240"/>
            </w:tcMar>
          </w:tcPr>
          <w:p>
            <w:pPr>
              <w:spacing w:after="200" w:before="0" w:line="300"/>
              <w:jc w:val="left"/>
            </w:pPr>
            <w:r>
              <w:rPr>
                <w:rFonts w:ascii="Arial" w:cs="Arial" w:eastAsia="Arial" w:hAnsi="Arial"/>
                <w:b/>
                <w:bCs/>
                <w:color w:val="1B2A4A"/>
                <w:sz w:val="22"/>
                <w:szCs w:val="22"/>
              </w:rPr>
              <w:t xml:space="preserve">The Core Question: </w:t>
            </w:r>
            <w:r>
              <w:rPr>
                <w:rFonts w:ascii="Arial" w:cs="Arial" w:eastAsia="Arial" w:hAnsi="Arial"/>
                <w:color w:val="1A202C"/>
                <w:sz w:val="22"/>
                <w:szCs w:val="22"/>
              </w:rPr>
              <w:t xml:space="preserve">Where does our data physically reside, what are your data residency options, and can you contractually guarantee geographic restrictions on data storage and processing?</w:t>
            </w:r>
          </w:p>
        </w:tc>
      </w:tr>
    </w:tbl>
    <w:p>
      <w:pPr>
        <w:spacing w:after="100" w:before="0" w:line="300"/>
        <w:jc w:val="left"/>
      </w:pPr>
      <w:r>
        <w:rPr>
          <w:rFonts w:ascii="Arial" w:cs="Arial" w:eastAsia="Arial" w:hAnsi="Arial"/>
          <w:color w:val="1A202C"/>
          <w:sz w:val="22"/>
          <w:szCs w:val="22"/>
        </w:rPr>
        <w:t xml:space="preserve"/>
      </w:r>
    </w:p>
    <w:p>
      <w:pPr>
        <w:spacing w:after="200" w:before="0" w:line="300"/>
        <w:jc w:val="left"/>
      </w:pPr>
      <w:r>
        <w:rPr>
          <w:rFonts w:ascii="Arial" w:cs="Arial" w:eastAsia="Arial" w:hAnsi="Arial"/>
          <w:b/>
          <w:bCs/>
          <w:color w:val="1B2A4A"/>
          <w:sz w:val="22"/>
          <w:szCs w:val="22"/>
        </w:rPr>
        <w:t xml:space="preserve">Why It Matters: </w:t>
      </w:r>
      <w:r>
        <w:rPr>
          <w:rFonts w:ascii="Arial" w:cs="Arial" w:eastAsia="Arial" w:hAnsi="Arial"/>
          <w:color w:val="1A202C"/>
          <w:sz w:val="22"/>
          <w:szCs w:val="22"/>
        </w:rPr>
        <w:t xml:space="preserve">Geography is not an abstraction in legal practice. Data subject to GDPR cannot be stored wherever is operationally convenient for the vendor. State bar opinions increasingly address cross-border data flows. Some clients—particularly institutional clients, government entities, and healthcare organizations—require data to remain in specific jurisdictions as a condition of engagement.</w:t>
      </w:r>
    </w:p>
    <w:p>
      <w:pPr>
        <w:spacing w:after="200" w:before="0" w:line="300"/>
        <w:jc w:val="left"/>
      </w:pPr>
      <w:r>
        <w:rPr>
          <w:rFonts w:ascii="Arial" w:cs="Arial" w:eastAsia="Arial" w:hAnsi="Arial"/>
          <w:color w:val="1A202C"/>
          <w:sz w:val="22"/>
          <w:szCs w:val="22"/>
        </w:rPr>
        <w:t xml:space="preserve">Yet legal teams routinely discover mid-implementation that their vendor defaults to U.S.-based multi-region cloud storage without offering jurisdictional alternatives, or that multi-region options exist but carry premium pricing that was never disclosed during the sales process. Some vendors genuinely cannot articulate where data resides because their infrastructure spans multiple sub-processors across undisclosed regions.</w:t>
      </w:r>
    </w:p>
    <w:p>
      <w:pPr>
        <w:pStyle w:val="Heading3"/>
      </w:pPr>
      <w:r>
        <w:t xml:space="preserve">What to Ask</w:t>
      </w:r>
    </w:p>
    <w:p>
      <w:pPr>
        <w:spacing w:after="120" w:before="0" w:line="280"/>
        <w:jc w:val="left"/>
      </w:pPr>
      <w:r>
        <w:rPr>
          <w:rFonts w:ascii="Arial" w:cs="Arial" w:eastAsia="Arial" w:hAnsi="Arial"/>
          <w:color w:val="2A9D8F"/>
          <w:sz w:val="22"/>
          <w:szCs w:val="22"/>
        </w:rPr>
        <w:t xml:space="preserve">☐  </w:t>
      </w:r>
      <w:r>
        <w:rPr>
          <w:rFonts w:ascii="Arial" w:cs="Arial" w:eastAsia="Arial" w:hAnsi="Arial"/>
          <w:color w:val="1A202C"/>
          <w:sz w:val="22"/>
          <w:szCs w:val="22"/>
        </w:rPr>
        <w:t xml:space="preserve">What cloud infrastructure hosts our data (AWS, Azure, GCP, proprietary)?</w:t>
      </w:r>
    </w:p>
    <w:p>
      <w:pPr>
        <w:spacing w:after="120" w:before="0" w:line="280"/>
        <w:jc w:val="left"/>
      </w:pPr>
      <w:r>
        <w:rPr>
          <w:rFonts w:ascii="Arial" w:cs="Arial" w:eastAsia="Arial" w:hAnsi="Arial"/>
          <w:color w:val="2A9D8F"/>
          <w:sz w:val="22"/>
          <w:szCs w:val="22"/>
        </w:rPr>
        <w:t xml:space="preserve">☐  </w:t>
      </w:r>
      <w:r>
        <w:rPr>
          <w:rFonts w:ascii="Arial" w:cs="Arial" w:eastAsia="Arial" w:hAnsi="Arial"/>
          <w:color w:val="1A202C"/>
          <w:sz w:val="22"/>
          <w:szCs w:val="22"/>
        </w:rPr>
        <w:t xml:space="preserve">In which geographic regions is our data stored at rest and in transit?</w:t>
      </w:r>
    </w:p>
    <w:p>
      <w:pPr>
        <w:spacing w:after="120" w:before="0" w:line="280"/>
        <w:jc w:val="left"/>
      </w:pPr>
      <w:r>
        <w:rPr>
          <w:rFonts w:ascii="Arial" w:cs="Arial" w:eastAsia="Arial" w:hAnsi="Arial"/>
          <w:color w:val="2A9D8F"/>
          <w:sz w:val="22"/>
          <w:szCs w:val="22"/>
        </w:rPr>
        <w:t xml:space="preserve">☐  </w:t>
      </w:r>
      <w:r>
        <w:rPr>
          <w:rFonts w:ascii="Arial" w:cs="Arial" w:eastAsia="Arial" w:hAnsi="Arial"/>
          <w:color w:val="1A202C"/>
          <w:sz w:val="22"/>
          <w:szCs w:val="22"/>
        </w:rPr>
        <w:t xml:space="preserve">Do you offer dedicated single-tenant environments or data residency guarantees?</w:t>
      </w:r>
    </w:p>
    <w:p>
      <w:pPr>
        <w:spacing w:after="120" w:before="0" w:line="280"/>
        <w:jc w:val="left"/>
      </w:pPr>
      <w:r>
        <w:rPr>
          <w:rFonts w:ascii="Arial" w:cs="Arial" w:eastAsia="Arial" w:hAnsi="Arial"/>
          <w:color w:val="2A9D8F"/>
          <w:sz w:val="22"/>
          <w:szCs w:val="22"/>
        </w:rPr>
        <w:t xml:space="preserve">☐  </w:t>
      </w:r>
      <w:r>
        <w:rPr>
          <w:rFonts w:ascii="Arial" w:cs="Arial" w:eastAsia="Arial" w:hAnsi="Arial"/>
          <w:color w:val="1A202C"/>
          <w:sz w:val="22"/>
          <w:szCs w:val="22"/>
        </w:rPr>
        <w:t xml:space="preserve">What sub-processors handle our data, and where are they located?</w:t>
      </w:r>
    </w:p>
    <w:p>
      <w:pPr>
        <w:spacing w:after="120" w:before="0" w:line="280"/>
        <w:jc w:val="left"/>
      </w:pPr>
      <w:r>
        <w:rPr>
          <w:rFonts w:ascii="Arial" w:cs="Arial" w:eastAsia="Arial" w:hAnsi="Arial"/>
          <w:color w:val="2A9D8F"/>
          <w:sz w:val="22"/>
          <w:szCs w:val="22"/>
        </w:rPr>
        <w:t xml:space="preserve">☐  </w:t>
      </w:r>
      <w:r>
        <w:rPr>
          <w:rFonts w:ascii="Arial" w:cs="Arial" w:eastAsia="Arial" w:hAnsi="Arial"/>
          <w:color w:val="1A202C"/>
          <w:sz w:val="22"/>
          <w:szCs w:val="22"/>
        </w:rPr>
        <w:t xml:space="preserve">Can you provide a current SOC 2 Type II report and data processing agreement?</w:t>
      </w:r>
    </w:p>
    <w:p>
      <w:pPr>
        <w:spacing w:after="120" w:before="0" w:line="280"/>
        <w:jc w:val="left"/>
      </w:pPr>
      <w:r>
        <w:rPr>
          <w:rFonts w:ascii="Arial" w:cs="Arial" w:eastAsia="Arial" w:hAnsi="Arial"/>
          <w:color w:val="2A9D8F"/>
          <w:sz w:val="22"/>
          <w:szCs w:val="22"/>
        </w:rPr>
        <w:t xml:space="preserve">☐  </w:t>
      </w:r>
      <w:r>
        <w:rPr>
          <w:rFonts w:ascii="Arial" w:cs="Arial" w:eastAsia="Arial" w:hAnsi="Arial"/>
          <w:color w:val="1A202C"/>
          <w:sz w:val="22"/>
          <w:szCs w:val="22"/>
        </w:rPr>
        <w:t xml:space="preserve">How quickly are we notified of changes to data storage locations or sub-processors?</w:t>
      </w:r>
    </w:p>
    <w:p>
      <w:pPr>
        <w:pStyle w:val="Heading3"/>
      </w:pPr>
      <w:r>
        <w:t xml:space="preserve">Red Flags</w:t>
      </w:r>
    </w:p>
    <w:p>
      <w:pPr>
        <w:spacing w:after="120" w:before="0" w:line="300"/>
        <w:jc w:val="left"/>
      </w:pPr>
      <w:r>
        <w:rPr>
          <w:rFonts w:ascii="Arial" w:cs="Arial" w:eastAsia="Arial" w:hAnsi="Arial"/>
          <w:color w:val="E53E3E"/>
          <w:sz w:val="22"/>
          <w:szCs w:val="22"/>
        </w:rPr>
        <w:t xml:space="preserve">⚠  </w:t>
      </w:r>
      <w:r>
        <w:rPr>
          <w:rFonts w:ascii="Arial" w:cs="Arial" w:eastAsia="Arial" w:hAnsi="Arial"/>
          <w:color w:val="1A202C"/>
          <w:sz w:val="22"/>
          <w:szCs w:val="22"/>
        </w:rPr>
        <w:t xml:space="preserve">Vendor cannot specify data center locations or names evasive sub-processors</w:t>
      </w:r>
    </w:p>
    <w:p>
      <w:pPr>
        <w:spacing w:after="120" w:before="0" w:line="300"/>
        <w:jc w:val="left"/>
      </w:pPr>
      <w:r>
        <w:rPr>
          <w:rFonts w:ascii="Arial" w:cs="Arial" w:eastAsia="Arial" w:hAnsi="Arial"/>
          <w:color w:val="E53E3E"/>
          <w:sz w:val="22"/>
          <w:szCs w:val="22"/>
        </w:rPr>
        <w:t xml:space="preserve">⚠  </w:t>
      </w:r>
      <w:r>
        <w:rPr>
          <w:rFonts w:ascii="Arial" w:cs="Arial" w:eastAsia="Arial" w:hAnsi="Arial"/>
          <w:color w:val="1A202C"/>
          <w:sz w:val="22"/>
          <w:szCs w:val="22"/>
        </w:rPr>
        <w:t xml:space="preserve">Data residency options are available only at enterprise tier or carry undisclosed surcharges</w:t>
      </w:r>
    </w:p>
    <w:p>
      <w:pPr>
        <w:spacing w:after="120" w:before="0" w:line="300"/>
        <w:jc w:val="left"/>
      </w:pPr>
      <w:r>
        <w:rPr>
          <w:rFonts w:ascii="Arial" w:cs="Arial" w:eastAsia="Arial" w:hAnsi="Arial"/>
          <w:color w:val="E53E3E"/>
          <w:sz w:val="22"/>
          <w:szCs w:val="22"/>
        </w:rPr>
        <w:t xml:space="preserve">⚠  </w:t>
      </w:r>
      <w:r>
        <w:rPr>
          <w:rFonts w:ascii="Arial" w:cs="Arial" w:eastAsia="Arial" w:hAnsi="Arial"/>
          <w:color w:val="1A202C"/>
          <w:sz w:val="22"/>
          <w:szCs w:val="22"/>
        </w:rPr>
        <w:t xml:space="preserve">No SOC 2 Type II certification, or the most recent report is more than 12 months old</w:t>
      </w:r>
    </w:p>
    <w:p>
      <w:pPr>
        <w:spacing w:after="200" w:before="0" w:line="300"/>
        <w:jc w:val="left"/>
      </w:pPr>
      <w:r>
        <w:rPr>
          <w:rFonts w:ascii="Arial" w:cs="Arial" w:eastAsia="Arial" w:hAnsi="Arial"/>
          <w:color w:val="E53E3E"/>
          <w:sz w:val="22"/>
          <w:szCs w:val="22"/>
        </w:rPr>
        <w:t xml:space="preserve">⚠  </w:t>
      </w:r>
      <w:r>
        <w:rPr>
          <w:rFonts w:ascii="Arial" w:cs="Arial" w:eastAsia="Arial" w:hAnsi="Arial"/>
          <w:color w:val="1A202C"/>
          <w:sz w:val="22"/>
          <w:szCs w:val="22"/>
        </w:rPr>
        <w:t xml:space="preserve">Vendor reserves unilateral right to change data storage locations without notice</w:t>
      </w:r>
    </w:p>
    <w:p>
      <w:r>
        <w:br w:type="page"/>
      </w:r>
    </w:p>
    <w:p>
      <w:pPr>
        <w:pStyle w:val="Heading2"/>
      </w:pPr>
      <w:r>
        <w:t xml:space="preserve">Question 2: Is Our Data Used to Train Your Models?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sz="0"/>
              <w:left w:val="single" w:color="2A9D8F" w:sz="12"/>
              <w:bottom w:val="none" w:sz="0"/>
              <w:right w:val="none" w:sz="0"/>
            </w:tcBorders>
            <w:shd w:fill="E6F6F4" w:val="clear"/>
            <w:tcMar>
              <w:top w:type="dxa" w:w="160"/>
              <w:left w:type="dxa" w:w="240"/>
              <w:bottom w:type="dxa" w:w="160"/>
              <w:right w:type="dxa" w:w="240"/>
            </w:tcMar>
          </w:tcPr>
          <w:p>
            <w:pPr>
              <w:spacing w:after="200" w:before="0" w:line="300"/>
              <w:jc w:val="left"/>
            </w:pPr>
            <w:r>
              <w:rPr>
                <w:rFonts w:ascii="Arial" w:cs="Arial" w:eastAsia="Arial" w:hAnsi="Arial"/>
                <w:b/>
                <w:bCs/>
                <w:color w:val="1B2A4A"/>
                <w:sz w:val="22"/>
                <w:szCs w:val="22"/>
              </w:rPr>
              <w:t xml:space="preserve">The Core Question: </w:t>
            </w:r>
            <w:r>
              <w:rPr>
                <w:rFonts w:ascii="Arial" w:cs="Arial" w:eastAsia="Arial" w:hAnsi="Arial"/>
                <w:color w:val="1A202C"/>
                <w:sz w:val="22"/>
                <w:szCs w:val="22"/>
              </w:rPr>
              <w:t xml:space="preserve">Does any client data we input into your system contribute to model training, fine-tuning, or improvement—and if so, is opt-out automatic, retroactive, and permanent?</w:t>
            </w:r>
          </w:p>
        </w:tc>
      </w:tr>
    </w:tbl>
    <w:p>
      <w:pPr>
        <w:spacing w:after="100" w:before="0" w:line="300"/>
        <w:jc w:val="left"/>
      </w:pPr>
      <w:r>
        <w:rPr>
          <w:rFonts w:ascii="Arial" w:cs="Arial" w:eastAsia="Arial" w:hAnsi="Arial"/>
          <w:color w:val="1A202C"/>
          <w:sz w:val="22"/>
          <w:szCs w:val="22"/>
        </w:rPr>
        <w:t xml:space="preserve"/>
      </w:r>
    </w:p>
    <w:p>
      <w:pPr>
        <w:spacing w:after="200" w:before="0" w:line="300"/>
        <w:jc w:val="left"/>
      </w:pPr>
      <w:r>
        <w:rPr>
          <w:rFonts w:ascii="Arial" w:cs="Arial" w:eastAsia="Arial" w:hAnsi="Arial"/>
          <w:b/>
          <w:bCs/>
          <w:color w:val="1B2A4A"/>
          <w:sz w:val="22"/>
          <w:szCs w:val="22"/>
        </w:rPr>
        <w:t xml:space="preserve">Why It Matters: </w:t>
      </w:r>
      <w:r>
        <w:rPr>
          <w:rFonts w:ascii="Arial" w:cs="Arial" w:eastAsia="Arial" w:hAnsi="Arial"/>
          <w:color w:val="1A202C"/>
          <w:sz w:val="22"/>
          <w:szCs w:val="22"/>
        </w:rPr>
        <w:t xml:space="preserve">The business models underlying legal AI vendors vary dramatically on this dimension. Some vendors explicitly covenant that customer data never touches model training pipelines. Others train on customer data by default, requiring affirmative opt-out. A few offer zero-data-retention (ZDR) configurations, but only for enterprise-tier customers who negotiate it during procurement.</w:t>
      </w:r>
    </w:p>
    <w:p>
      <w:pPr>
        <w:spacing w:after="200" w:before="0" w:line="300"/>
        <w:jc w:val="left"/>
      </w:pPr>
      <w:r>
        <w:rPr>
          <w:rFonts w:ascii="Arial" w:cs="Arial" w:eastAsia="Arial" w:hAnsi="Arial"/>
          <w:color w:val="1A202C"/>
          <w:sz w:val="22"/>
          <w:szCs w:val="22"/>
        </w:rPr>
        <w:t xml:space="preserve">For legal practice, this is not merely a preference—it is an ethics obligation. Using client data to train a commercial AI model typically requires informed client consent under state ethics rules, and ABA Formal Opinion 512 is explicit that boilerplate engagement letter provisions will not satisfy this requirement.</w:t>
      </w:r>
      <w:r>
        <w:rPr>
          <w:rStyle w:val="FootnoteReference"/>
        </w:rPr>
        <w:footnoteReference w:id="6"/>
      </w:r>
      <w:r>
        <w:rPr>
          <w:rFonts w:ascii="Arial" w:cs="Arial" w:eastAsia="Arial" w:hAnsi="Arial"/>
          <w:color w:val="1A202C"/>
          <w:sz w:val="22"/>
          <w:szCs w:val="22"/>
        </w:rPr>
        <w:t xml:space="preserve"> The opinion specifically warns that self-learning tools may use information from one representation to inform another, creating potential conflicts under Rules 1.7 and 1.9.</w:t>
      </w:r>
    </w:p>
    <w:p>
      <w:pPr>
        <w:pStyle w:val="Heading3"/>
      </w:pPr>
      <w:r>
        <w:t xml:space="preserve">The Data Retention Reality</w:t>
      </w:r>
    </w:p>
    <w:p>
      <w:pPr>
        <w:spacing w:after="200" w:before="0" w:line="300"/>
        <w:jc w:val="left"/>
      </w:pPr>
      <w:r>
        <w:rPr>
          <w:rFonts w:ascii="Arial" w:cs="Arial" w:eastAsia="Arial" w:hAnsi="Arial"/>
          <w:color w:val="1A202C"/>
          <w:sz w:val="22"/>
          <w:szCs w:val="22"/>
        </w:rPr>
        <w:t xml:space="preserve">Understanding default retention policies is critical to informed vendor selection. Major AI infrastructure providers retain API inputs and outputs for abuse monitoring purposes—typically for 30 days—even when the data is not used for model training. Enterprise customers can negotiate zero-data-retention configurations, but this typically requires direct sales engagement and is not available through self-service or standard subscription tiers. Consumer-tier products operate under different terms entirely, often retaining conversation data unless the user explicitly disables history features.</w:t>
      </w:r>
    </w:p>
    <w:p>
      <w:pPr>
        <w:pStyle w:val="Heading3"/>
      </w:pPr>
      <w:r>
        <w:t xml:space="preserve">What to Ask</w:t>
      </w:r>
    </w:p>
    <w:p>
      <w:pPr>
        <w:spacing w:after="120" w:before="0" w:line="280"/>
        <w:jc w:val="left"/>
      </w:pPr>
      <w:r>
        <w:rPr>
          <w:rFonts w:ascii="Arial" w:cs="Arial" w:eastAsia="Arial" w:hAnsi="Arial"/>
          <w:color w:val="2A9D8F"/>
          <w:sz w:val="22"/>
          <w:szCs w:val="22"/>
        </w:rPr>
        <w:t xml:space="preserve">☐  </w:t>
      </w:r>
      <w:r>
        <w:rPr>
          <w:rFonts w:ascii="Arial" w:cs="Arial" w:eastAsia="Arial" w:hAnsi="Arial"/>
          <w:color w:val="1A202C"/>
          <w:sz w:val="22"/>
          <w:szCs w:val="22"/>
        </w:rPr>
        <w:t xml:space="preserve">Does our data train, fine-tune, or otherwise improve your AI models in any way?</w:t>
      </w:r>
    </w:p>
    <w:p>
      <w:pPr>
        <w:spacing w:after="120" w:before="0" w:line="280"/>
        <w:jc w:val="left"/>
      </w:pPr>
      <w:r>
        <w:rPr>
          <w:rFonts w:ascii="Arial" w:cs="Arial" w:eastAsia="Arial" w:hAnsi="Arial"/>
          <w:color w:val="2A9D8F"/>
          <w:sz w:val="22"/>
          <w:szCs w:val="22"/>
        </w:rPr>
        <w:t xml:space="preserve">☐  </w:t>
      </w:r>
      <w:r>
        <w:rPr>
          <w:rFonts w:ascii="Arial" w:cs="Arial" w:eastAsia="Arial" w:hAnsi="Arial"/>
          <w:color w:val="1A202C"/>
          <w:sz w:val="22"/>
          <w:szCs w:val="22"/>
        </w:rPr>
        <w:t xml:space="preserve">If yes, is opt-out automatic at our subscription tier, or must we request it?</w:t>
      </w:r>
    </w:p>
    <w:p>
      <w:pPr>
        <w:spacing w:after="120" w:before="0" w:line="280"/>
        <w:jc w:val="left"/>
      </w:pPr>
      <w:r>
        <w:rPr>
          <w:rFonts w:ascii="Arial" w:cs="Arial" w:eastAsia="Arial" w:hAnsi="Arial"/>
          <w:color w:val="2A9D8F"/>
          <w:sz w:val="22"/>
          <w:szCs w:val="22"/>
        </w:rPr>
        <w:t xml:space="preserve">☐  </w:t>
      </w:r>
      <w:r>
        <w:rPr>
          <w:rFonts w:ascii="Arial" w:cs="Arial" w:eastAsia="Arial" w:hAnsi="Arial"/>
          <w:color w:val="1A202C"/>
          <w:sz w:val="22"/>
          <w:szCs w:val="22"/>
        </w:rPr>
        <w:t xml:space="preserve">Is opt-out retroactive (purging previously ingested data) or only prospective?</w:t>
      </w:r>
    </w:p>
    <w:p>
      <w:pPr>
        <w:spacing w:after="120" w:before="0" w:line="280"/>
        <w:jc w:val="left"/>
      </w:pPr>
      <w:r>
        <w:rPr>
          <w:rFonts w:ascii="Arial" w:cs="Arial" w:eastAsia="Arial" w:hAnsi="Arial"/>
          <w:color w:val="2A9D8F"/>
          <w:sz w:val="22"/>
          <w:szCs w:val="22"/>
        </w:rPr>
        <w:t xml:space="preserve">☐  </w:t>
      </w:r>
      <w:r>
        <w:rPr>
          <w:rFonts w:ascii="Arial" w:cs="Arial" w:eastAsia="Arial" w:hAnsi="Arial"/>
          <w:color w:val="1A202C"/>
          <w:sz w:val="22"/>
          <w:szCs w:val="22"/>
        </w:rPr>
        <w:t xml:space="preserve">What is your default data retention period for inputs and outputs?</w:t>
      </w:r>
    </w:p>
    <w:p>
      <w:pPr>
        <w:spacing w:after="120" w:before="0" w:line="280"/>
        <w:jc w:val="left"/>
      </w:pPr>
      <w:r>
        <w:rPr>
          <w:rFonts w:ascii="Arial" w:cs="Arial" w:eastAsia="Arial" w:hAnsi="Arial"/>
          <w:color w:val="2A9D8F"/>
          <w:sz w:val="22"/>
          <w:szCs w:val="22"/>
        </w:rPr>
        <w:t xml:space="preserve">☐  </w:t>
      </w:r>
      <w:r>
        <w:rPr>
          <w:rFonts w:ascii="Arial" w:cs="Arial" w:eastAsia="Arial" w:hAnsi="Arial"/>
          <w:color w:val="1A202C"/>
          <w:sz w:val="22"/>
          <w:szCs w:val="22"/>
        </w:rPr>
        <w:t xml:space="preserve">Is zero-data-retention (ZDR) available, and at what tier and cost?</w:t>
      </w:r>
    </w:p>
    <w:p>
      <w:pPr>
        <w:spacing w:after="120" w:before="0" w:line="280"/>
        <w:jc w:val="left"/>
      </w:pPr>
      <w:r>
        <w:rPr>
          <w:rFonts w:ascii="Arial" w:cs="Arial" w:eastAsia="Arial" w:hAnsi="Arial"/>
          <w:color w:val="2A9D8F"/>
          <w:sz w:val="22"/>
          <w:szCs w:val="22"/>
        </w:rPr>
        <w:t xml:space="preserve">☐  </w:t>
      </w:r>
      <w:r>
        <w:rPr>
          <w:rFonts w:ascii="Arial" w:cs="Arial" w:eastAsia="Arial" w:hAnsi="Arial"/>
          <w:color w:val="1A202C"/>
          <w:sz w:val="22"/>
          <w:szCs w:val="22"/>
        </w:rPr>
        <w:t xml:space="preserve">Can you provide written certification that client data will not be used for training?</w:t>
      </w:r>
    </w:p>
    <w:p>
      <w:pPr>
        <w:spacing w:after="120" w:before="0" w:line="280"/>
        <w:jc w:val="left"/>
      </w:pPr>
      <w:r>
        <w:rPr>
          <w:rFonts w:ascii="Arial" w:cs="Arial" w:eastAsia="Arial" w:hAnsi="Arial"/>
          <w:color w:val="2A9D8F"/>
          <w:sz w:val="22"/>
          <w:szCs w:val="22"/>
        </w:rPr>
        <w:t xml:space="preserve">☐  </w:t>
      </w:r>
      <w:r>
        <w:rPr>
          <w:rFonts w:ascii="Arial" w:cs="Arial" w:eastAsia="Arial" w:hAnsi="Arial"/>
          <w:color w:val="1A202C"/>
          <w:sz w:val="22"/>
          <w:szCs w:val="22"/>
        </w:rPr>
        <w:t xml:space="preserve">Do you maintain separate model training pipelines from customer data pipelines?</w:t>
      </w:r>
    </w:p>
    <w:p>
      <w:pPr>
        <w:pStyle w:val="Heading3"/>
      </w:pPr>
      <w:r>
        <w:t xml:space="preserve">Red Flags</w:t>
      </w:r>
    </w:p>
    <w:p>
      <w:pPr>
        <w:spacing w:after="120" w:before="0" w:line="300"/>
        <w:jc w:val="left"/>
      </w:pPr>
      <w:r>
        <w:rPr>
          <w:rFonts w:ascii="Arial" w:cs="Arial" w:eastAsia="Arial" w:hAnsi="Arial"/>
          <w:color w:val="E53E3E"/>
          <w:sz w:val="22"/>
          <w:szCs w:val="22"/>
        </w:rPr>
        <w:t xml:space="preserve">⚠  </w:t>
      </w:r>
      <w:r>
        <w:rPr>
          <w:rFonts w:ascii="Arial" w:cs="Arial" w:eastAsia="Arial" w:hAnsi="Arial"/>
          <w:color w:val="1A202C"/>
          <w:sz w:val="22"/>
          <w:szCs w:val="22"/>
        </w:rPr>
        <w:t xml:space="preserve">Vendor uses customer data for training by default and requires manual opt-out per account</w:t>
      </w:r>
    </w:p>
    <w:p>
      <w:pPr>
        <w:spacing w:after="120" w:before="0" w:line="300"/>
        <w:jc w:val="left"/>
      </w:pPr>
      <w:r>
        <w:rPr>
          <w:rFonts w:ascii="Arial" w:cs="Arial" w:eastAsia="Arial" w:hAnsi="Arial"/>
          <w:color w:val="E53E3E"/>
          <w:sz w:val="22"/>
          <w:szCs w:val="22"/>
        </w:rPr>
        <w:t xml:space="preserve">⚠  </w:t>
      </w:r>
      <w:r>
        <w:rPr>
          <w:rFonts w:ascii="Arial" w:cs="Arial" w:eastAsia="Arial" w:hAnsi="Arial"/>
          <w:color w:val="1A202C"/>
          <w:sz w:val="22"/>
          <w:szCs w:val="22"/>
        </w:rPr>
        <w:t xml:space="preserve">Opt-out is prospective only—previously ingested data remains in training sets</w:t>
      </w:r>
    </w:p>
    <w:p>
      <w:pPr>
        <w:spacing w:after="120" w:before="0" w:line="300"/>
        <w:jc w:val="left"/>
      </w:pPr>
      <w:r>
        <w:rPr>
          <w:rFonts w:ascii="Arial" w:cs="Arial" w:eastAsia="Arial" w:hAnsi="Arial"/>
          <w:color w:val="E53E3E"/>
          <w:sz w:val="22"/>
          <w:szCs w:val="22"/>
        </w:rPr>
        <w:t xml:space="preserve">⚠  </w:t>
      </w:r>
      <w:r>
        <w:rPr>
          <w:rFonts w:ascii="Arial" w:cs="Arial" w:eastAsia="Arial" w:hAnsi="Arial"/>
          <w:color w:val="1A202C"/>
          <w:sz w:val="22"/>
          <w:szCs w:val="22"/>
        </w:rPr>
        <w:t xml:space="preserve">Vendor cannot articulate the boundary between customer data and model training infrastructure</w:t>
      </w:r>
    </w:p>
    <w:p>
      <w:pPr>
        <w:spacing w:after="200" w:before="0" w:line="300"/>
        <w:jc w:val="left"/>
      </w:pPr>
      <w:r>
        <w:rPr>
          <w:rFonts w:ascii="Arial" w:cs="Arial" w:eastAsia="Arial" w:hAnsi="Arial"/>
          <w:color w:val="E53E3E"/>
          <w:sz w:val="22"/>
          <w:szCs w:val="22"/>
        </w:rPr>
        <w:t xml:space="preserve">⚠  </w:t>
      </w:r>
      <w:r>
        <w:rPr>
          <w:rFonts w:ascii="Arial" w:cs="Arial" w:eastAsia="Arial" w:hAnsi="Arial"/>
          <w:color w:val="1A202C"/>
          <w:sz w:val="22"/>
          <w:szCs w:val="22"/>
        </w:rPr>
        <w:t xml:space="preserve">ZDR is listed as a “future roadmap” item rather than a current capability</w:t>
      </w:r>
    </w:p>
    <w:p>
      <w:r>
        <w:br w:type="page"/>
      </w:r>
    </w:p>
    <w:p>
      <w:pPr>
        <w:pStyle w:val="Heading2"/>
      </w:pPr>
      <w:r>
        <w:t xml:space="preserve">Question 3: What Happens to Our Data When We Leave?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sz="0"/>
              <w:left w:val="single" w:color="2A9D8F" w:sz="12"/>
              <w:bottom w:val="none" w:sz="0"/>
              <w:right w:val="none" w:sz="0"/>
            </w:tcBorders>
            <w:shd w:fill="E6F6F4" w:val="clear"/>
            <w:tcMar>
              <w:top w:type="dxa" w:w="160"/>
              <w:left w:type="dxa" w:w="240"/>
              <w:bottom w:type="dxa" w:w="160"/>
              <w:right w:type="dxa" w:w="240"/>
            </w:tcMar>
          </w:tcPr>
          <w:p>
            <w:pPr>
              <w:spacing w:after="200" w:before="0" w:line="300"/>
              <w:jc w:val="left"/>
            </w:pPr>
            <w:r>
              <w:rPr>
                <w:rFonts w:ascii="Arial" w:cs="Arial" w:eastAsia="Arial" w:hAnsi="Arial"/>
                <w:b/>
                <w:bCs/>
                <w:color w:val="1B2A4A"/>
                <w:sz w:val="22"/>
                <w:szCs w:val="22"/>
              </w:rPr>
              <w:t xml:space="preserve">The Core Question: </w:t>
            </w:r>
            <w:r>
              <w:rPr>
                <w:rFonts w:ascii="Arial" w:cs="Arial" w:eastAsia="Arial" w:hAnsi="Arial"/>
                <w:color w:val="1A202C"/>
                <w:sz w:val="22"/>
                <w:szCs w:val="22"/>
              </w:rPr>
              <w:t xml:space="preserve">When the vendor relationship ends, what is the complete lifecycle of our data—from export through deletion—and can you certify completion?</w:t>
            </w:r>
          </w:p>
        </w:tc>
      </w:tr>
    </w:tbl>
    <w:p>
      <w:pPr>
        <w:spacing w:after="100" w:before="0" w:line="300"/>
        <w:jc w:val="left"/>
      </w:pPr>
      <w:r>
        <w:rPr>
          <w:rFonts w:ascii="Arial" w:cs="Arial" w:eastAsia="Arial" w:hAnsi="Arial"/>
          <w:color w:val="1A202C"/>
          <w:sz w:val="22"/>
          <w:szCs w:val="22"/>
        </w:rPr>
        <w:t xml:space="preserve"/>
      </w:r>
    </w:p>
    <w:p>
      <w:pPr>
        <w:spacing w:after="200" w:before="0" w:line="300"/>
        <w:jc w:val="left"/>
      </w:pPr>
      <w:r>
        <w:rPr>
          <w:rFonts w:ascii="Arial" w:cs="Arial" w:eastAsia="Arial" w:hAnsi="Arial"/>
          <w:b/>
          <w:bCs/>
          <w:color w:val="1B2A4A"/>
          <w:sz w:val="22"/>
          <w:szCs w:val="22"/>
        </w:rPr>
        <w:t xml:space="preserve">Why It Matters: </w:t>
      </w:r>
      <w:r>
        <w:rPr>
          <w:rFonts w:ascii="Arial" w:cs="Arial" w:eastAsia="Arial" w:hAnsi="Arial"/>
          <w:color w:val="1A202C"/>
          <w:sz w:val="22"/>
          <w:szCs w:val="22"/>
        </w:rPr>
        <w:t xml:space="preserve">Vendor relationships end. Better tools emerge. Budgets shift. Companies get acquired. When that transition occurs, the attorney’s ongoing duty to protect client confidentiality does not pause. If a vendor retains client data indefinitely in backup systems or makes data export prohibitively difficult, the firm faces continuing exposure to confidentiality breaches long after the commercial relationship has terminated.</w:t>
      </w:r>
    </w:p>
    <w:p>
      <w:pPr>
        <w:spacing w:after="200" w:before="0" w:line="300"/>
        <w:jc w:val="left"/>
      </w:pPr>
      <w:r>
        <w:rPr>
          <w:rFonts w:ascii="Arial" w:cs="Arial" w:eastAsia="Arial" w:hAnsi="Arial"/>
          <w:color w:val="1A202C"/>
          <w:sz w:val="22"/>
          <w:szCs w:val="22"/>
        </w:rPr>
        <w:t xml:space="preserve">Privacy frameworks like the CCPA and GDPR grant individuals data portability and deletion rights.</w:t>
      </w:r>
      <w:r>
        <w:rPr>
          <w:rStyle w:val="FootnoteReference"/>
        </w:rPr>
        <w:footnoteReference w:id="8"/>
      </w:r>
      <w:r>
        <w:rPr>
          <w:rFonts w:ascii="Arial" w:cs="Arial" w:eastAsia="Arial" w:hAnsi="Arial"/>
          <w:color w:val="1A202C"/>
          <w:sz w:val="22"/>
          <w:szCs w:val="22"/>
        </w:rPr>
        <w:t xml:space="preserve"> If your vendor cannot or will not facilitate clean data exit, you are potentially exposing clients to ongoing risk—and creating personal malpractice exposure for the firm.</w:t>
      </w:r>
    </w:p>
    <w:p>
      <w:pPr>
        <w:pStyle w:val="Heading3"/>
      </w:pPr>
      <w:r>
        <w:t xml:space="preserve">What to Ask</w:t>
      </w:r>
    </w:p>
    <w:p>
      <w:pPr>
        <w:spacing w:after="120" w:before="0" w:line="280"/>
        <w:jc w:val="left"/>
      </w:pPr>
      <w:r>
        <w:rPr>
          <w:rFonts w:ascii="Arial" w:cs="Arial" w:eastAsia="Arial" w:hAnsi="Arial"/>
          <w:color w:val="2A9D8F"/>
          <w:sz w:val="22"/>
          <w:szCs w:val="22"/>
        </w:rPr>
        <w:t xml:space="preserve">☐  </w:t>
      </w:r>
      <w:r>
        <w:rPr>
          <w:rFonts w:ascii="Arial" w:cs="Arial" w:eastAsia="Arial" w:hAnsi="Arial"/>
          <w:color w:val="1A202C"/>
          <w:sz w:val="22"/>
          <w:szCs w:val="22"/>
        </w:rPr>
        <w:t xml:space="preserve">What data export formats are available (JSON, CSV, native document formats)?</w:t>
      </w:r>
    </w:p>
    <w:p>
      <w:pPr>
        <w:spacing w:after="120" w:before="0" w:line="280"/>
        <w:jc w:val="left"/>
      </w:pPr>
      <w:r>
        <w:rPr>
          <w:rFonts w:ascii="Arial" w:cs="Arial" w:eastAsia="Arial" w:hAnsi="Arial"/>
          <w:color w:val="2A9D8F"/>
          <w:sz w:val="22"/>
          <w:szCs w:val="22"/>
        </w:rPr>
        <w:t xml:space="preserve">☐  </w:t>
      </w:r>
      <w:r>
        <w:rPr>
          <w:rFonts w:ascii="Arial" w:cs="Arial" w:eastAsia="Arial" w:hAnsi="Arial"/>
          <w:color w:val="1A202C"/>
          <w:sz w:val="22"/>
          <w:szCs w:val="22"/>
        </w:rPr>
        <w:t xml:space="preserve">Is there an automated export tool, or does export require manual intervention?</w:t>
      </w:r>
    </w:p>
    <w:p>
      <w:pPr>
        <w:spacing w:after="120" w:before="0" w:line="280"/>
        <w:jc w:val="left"/>
      </w:pPr>
      <w:r>
        <w:rPr>
          <w:rFonts w:ascii="Arial" w:cs="Arial" w:eastAsia="Arial" w:hAnsi="Arial"/>
          <w:color w:val="2A9D8F"/>
          <w:sz w:val="22"/>
          <w:szCs w:val="22"/>
        </w:rPr>
        <w:t xml:space="preserve">☐  </w:t>
      </w:r>
      <w:r>
        <w:rPr>
          <w:rFonts w:ascii="Arial" w:cs="Arial" w:eastAsia="Arial" w:hAnsi="Arial"/>
          <w:color w:val="1A202C"/>
          <w:sz w:val="22"/>
          <w:szCs w:val="22"/>
        </w:rPr>
        <w:t xml:space="preserve">What is the timeline from termination notice to complete data deletion?</w:t>
      </w:r>
    </w:p>
    <w:p>
      <w:pPr>
        <w:spacing w:after="120" w:before="0" w:line="280"/>
        <w:jc w:val="left"/>
      </w:pPr>
      <w:r>
        <w:rPr>
          <w:rFonts w:ascii="Arial" w:cs="Arial" w:eastAsia="Arial" w:hAnsi="Arial"/>
          <w:color w:val="2A9D8F"/>
          <w:sz w:val="22"/>
          <w:szCs w:val="22"/>
        </w:rPr>
        <w:t xml:space="preserve">☐  </w:t>
      </w:r>
      <w:r>
        <w:rPr>
          <w:rFonts w:ascii="Arial" w:cs="Arial" w:eastAsia="Arial" w:hAnsi="Arial"/>
          <w:color w:val="1A202C"/>
          <w:sz w:val="22"/>
          <w:szCs w:val="22"/>
        </w:rPr>
        <w:t xml:space="preserve">Do you provide written deletion certificates upon completion?</w:t>
      </w:r>
    </w:p>
    <w:p>
      <w:pPr>
        <w:spacing w:after="120" w:before="0" w:line="280"/>
        <w:jc w:val="left"/>
      </w:pPr>
      <w:r>
        <w:rPr>
          <w:rFonts w:ascii="Arial" w:cs="Arial" w:eastAsia="Arial" w:hAnsi="Arial"/>
          <w:color w:val="2A9D8F"/>
          <w:sz w:val="22"/>
          <w:szCs w:val="22"/>
        </w:rPr>
        <w:t xml:space="preserve">☐  </w:t>
      </w:r>
      <w:r>
        <w:rPr>
          <w:rFonts w:ascii="Arial" w:cs="Arial" w:eastAsia="Arial" w:hAnsi="Arial"/>
          <w:color w:val="1A202C"/>
          <w:sz w:val="22"/>
          <w:szCs w:val="22"/>
        </w:rPr>
        <w:t xml:space="preserve">What data, if any, persists in backup systems after deletion, and for how long?</w:t>
      </w:r>
    </w:p>
    <w:p>
      <w:pPr>
        <w:spacing w:after="120" w:before="0" w:line="280"/>
        <w:jc w:val="left"/>
      </w:pPr>
      <w:r>
        <w:rPr>
          <w:rFonts w:ascii="Arial" w:cs="Arial" w:eastAsia="Arial" w:hAnsi="Arial"/>
          <w:color w:val="2A9D8F"/>
          <w:sz w:val="22"/>
          <w:szCs w:val="22"/>
        </w:rPr>
        <w:t xml:space="preserve">☐  </w:t>
      </w:r>
      <w:r>
        <w:rPr>
          <w:rFonts w:ascii="Arial" w:cs="Arial" w:eastAsia="Arial" w:hAnsi="Arial"/>
          <w:color w:val="1A202C"/>
          <w:sz w:val="22"/>
          <w:szCs w:val="22"/>
        </w:rPr>
        <w:t xml:space="preserve">Is data deletion verified by a third party or only self-certified?</w:t>
      </w:r>
    </w:p>
    <w:p>
      <w:pPr>
        <w:spacing w:after="120" w:before="0" w:line="280"/>
        <w:jc w:val="left"/>
      </w:pPr>
      <w:r>
        <w:rPr>
          <w:rFonts w:ascii="Arial" w:cs="Arial" w:eastAsia="Arial" w:hAnsi="Arial"/>
          <w:color w:val="2A9D8F"/>
          <w:sz w:val="22"/>
          <w:szCs w:val="22"/>
        </w:rPr>
        <w:t xml:space="preserve">☐  </w:t>
      </w:r>
      <w:r>
        <w:rPr>
          <w:rFonts w:ascii="Arial" w:cs="Arial" w:eastAsia="Arial" w:hAnsi="Arial"/>
          <w:color w:val="1A202C"/>
          <w:sz w:val="22"/>
          <w:szCs w:val="22"/>
        </w:rPr>
        <w:t xml:space="preserve">What are the financial and operational costs associated with data export?</w:t>
      </w:r>
    </w:p>
    <w:p>
      <w:pPr>
        <w:spacing w:after="120" w:before="0" w:line="280"/>
        <w:jc w:val="left"/>
      </w:pPr>
      <w:r>
        <w:rPr>
          <w:rFonts w:ascii="Arial" w:cs="Arial" w:eastAsia="Arial" w:hAnsi="Arial"/>
          <w:color w:val="2A9D8F"/>
          <w:sz w:val="22"/>
          <w:szCs w:val="22"/>
        </w:rPr>
        <w:t xml:space="preserve">☐  </w:t>
      </w:r>
      <w:r>
        <w:rPr>
          <w:rFonts w:ascii="Arial" w:cs="Arial" w:eastAsia="Arial" w:hAnsi="Arial"/>
          <w:color w:val="1A202C"/>
          <w:sz w:val="22"/>
          <w:szCs w:val="22"/>
        </w:rPr>
        <w:t xml:space="preserve">In the event of vendor acquisition, what contractual protections survive assignment?</w:t>
      </w:r>
    </w:p>
    <w:p>
      <w:pPr>
        <w:pStyle w:val="Heading3"/>
      </w:pPr>
      <w:r>
        <w:t xml:space="preserve">Red Flags</w:t>
      </w:r>
    </w:p>
    <w:p>
      <w:pPr>
        <w:spacing w:after="120" w:before="0" w:line="300"/>
        <w:jc w:val="left"/>
      </w:pPr>
      <w:r>
        <w:rPr>
          <w:rFonts w:ascii="Arial" w:cs="Arial" w:eastAsia="Arial" w:hAnsi="Arial"/>
          <w:color w:val="E53E3E"/>
          <w:sz w:val="22"/>
          <w:szCs w:val="22"/>
        </w:rPr>
        <w:t xml:space="preserve">⚠  </w:t>
      </w:r>
      <w:r>
        <w:rPr>
          <w:rFonts w:ascii="Arial" w:cs="Arial" w:eastAsia="Arial" w:hAnsi="Arial"/>
          <w:color w:val="1A202C"/>
          <w:sz w:val="22"/>
          <w:szCs w:val="22"/>
        </w:rPr>
        <w:t xml:space="preserve">Vendor retains data for extended periods citing “backup obligations” without specifying duration</w:t>
      </w:r>
    </w:p>
    <w:p>
      <w:pPr>
        <w:spacing w:after="120" w:before="0" w:line="300"/>
        <w:jc w:val="left"/>
      </w:pPr>
      <w:r>
        <w:rPr>
          <w:rFonts w:ascii="Arial" w:cs="Arial" w:eastAsia="Arial" w:hAnsi="Arial"/>
          <w:color w:val="E53E3E"/>
          <w:sz w:val="22"/>
          <w:szCs w:val="22"/>
        </w:rPr>
        <w:t xml:space="preserve">⚠  </w:t>
      </w:r>
      <w:r>
        <w:rPr>
          <w:rFonts w:ascii="Arial" w:cs="Arial" w:eastAsia="Arial" w:hAnsi="Arial"/>
          <w:color w:val="1A202C"/>
          <w:sz w:val="22"/>
          <w:szCs w:val="22"/>
        </w:rPr>
        <w:t xml:space="preserve">Data export requires custom engineering work or premium professional services fees</w:t>
      </w:r>
    </w:p>
    <w:p>
      <w:pPr>
        <w:spacing w:after="120" w:before="0" w:line="300"/>
        <w:jc w:val="left"/>
      </w:pPr>
      <w:r>
        <w:rPr>
          <w:rFonts w:ascii="Arial" w:cs="Arial" w:eastAsia="Arial" w:hAnsi="Arial"/>
          <w:color w:val="E53E3E"/>
          <w:sz w:val="22"/>
          <w:szCs w:val="22"/>
        </w:rPr>
        <w:t xml:space="preserve">⚠  </w:t>
      </w:r>
      <w:r>
        <w:rPr>
          <w:rFonts w:ascii="Arial" w:cs="Arial" w:eastAsia="Arial" w:hAnsi="Arial"/>
          <w:color w:val="1A202C"/>
          <w:sz w:val="22"/>
          <w:szCs w:val="22"/>
        </w:rPr>
        <w:t xml:space="preserve">No deletion certificate is available, or deletion is only self-certified</w:t>
      </w:r>
    </w:p>
    <w:p>
      <w:pPr>
        <w:spacing w:after="200" w:before="0" w:line="300"/>
        <w:jc w:val="left"/>
      </w:pPr>
      <w:r>
        <w:rPr>
          <w:rFonts w:ascii="Arial" w:cs="Arial" w:eastAsia="Arial" w:hAnsi="Arial"/>
          <w:color w:val="E53E3E"/>
          <w:sz w:val="22"/>
          <w:szCs w:val="22"/>
        </w:rPr>
        <w:t xml:space="preserve">⚠  </w:t>
      </w:r>
      <w:r>
        <w:rPr>
          <w:rFonts w:ascii="Arial" w:cs="Arial" w:eastAsia="Arial" w:hAnsi="Arial"/>
          <w:color w:val="1A202C"/>
          <w:sz w:val="22"/>
          <w:szCs w:val="22"/>
        </w:rPr>
        <w:t xml:space="preserve">Contract includes broad data retention rights that survive termination without clear sunset</w:t>
      </w:r>
    </w:p>
    <w:p>
      <w:pPr>
        <w:pBdr>
          <w:bottom w:val="single" w:color="CBD5E0" w:sz="2" w:space="1"/>
        </w:pBdr>
        <w:spacing w:after="200" w:before="200"/>
      </w:pPr>
    </w:p>
    <w:p>
      <w:pPr>
        <w:pStyle w:val="Heading1"/>
      </w:pPr>
      <w:r>
        <w:t xml:space="preserve">Beyond the Three Questions: Expanded Due Diligence</w:t>
      </w:r>
    </w:p>
    <w:p>
      <w:pPr>
        <w:spacing w:after="200" w:before="0" w:line="300"/>
        <w:jc w:val="left"/>
      </w:pPr>
      <w:r>
        <w:rPr>
          <w:rFonts w:ascii="Arial" w:cs="Arial" w:eastAsia="Arial" w:hAnsi="Arial"/>
          <w:color w:val="1A202C"/>
          <w:sz w:val="22"/>
          <w:szCs w:val="22"/>
        </w:rPr>
        <w:t xml:space="preserve">While the three foundational questions serve as threshold evaluations, responsible AI procurement demands inquiry into several additional dimensions.</w:t>
      </w:r>
    </w:p>
    <w:p>
      <w:pPr>
        <w:pStyle w:val="Heading2"/>
      </w:pPr>
      <w:r>
        <w:t xml:space="preserve">Model Transparency and Explainability</w:t>
      </w:r>
    </w:p>
    <w:p>
      <w:pPr>
        <w:spacing w:after="200" w:before="0" w:line="300"/>
        <w:jc w:val="left"/>
      </w:pPr>
      <w:r>
        <w:rPr>
          <w:rFonts w:ascii="Arial" w:cs="Arial" w:eastAsia="Arial" w:hAnsi="Arial"/>
          <w:color w:val="1A202C"/>
          <w:sz w:val="22"/>
          <w:szCs w:val="22"/>
        </w:rPr>
        <w:t xml:space="preserve">The EU AI Act’s GPAI Code of Practice, formally approved in August 2025, establishes a transparency standard that will increasingly shape global expectations. Vendors deploying general-purpose AI models in legal contexts should be prepared to disclose their training data sources, describe how outputs are generated, and explain the limitations of their models in legal-specific use cases.</w:t>
      </w:r>
    </w:p>
    <w:p>
      <w:pPr>
        <w:spacing w:after="200" w:before="0" w:line="300"/>
        <w:jc w:val="left"/>
      </w:pPr>
      <w:r>
        <w:rPr>
          <w:rFonts w:ascii="Arial" w:cs="Arial" w:eastAsia="Arial" w:hAnsi="Arial"/>
          <w:color w:val="1A202C"/>
          <w:sz w:val="22"/>
          <w:szCs w:val="22"/>
        </w:rPr>
        <w:t xml:space="preserve">For legal practitioners, explainability is not an abstract concern. When an AI tool produces a legal research memo that informs case strategy, the attorney must be able to understand—at a meaningful level—how the tool arrived at its conclusions. Black-box outputs that cannot be interrogated or verified are inconsistent with the duty of competence under Model Rule 1.1.</w:t>
      </w:r>
    </w:p>
    <w:p>
      <w:pPr>
        <w:pStyle w:val="Heading2"/>
      </w:pPr>
      <w:r>
        <w:t xml:space="preserve">Hallucination and Accuracy Guarantees</w:t>
      </w:r>
    </w:p>
    <w:p>
      <w:pPr>
        <w:spacing w:after="200" w:before="0" w:line="300"/>
        <w:jc w:val="left"/>
      </w:pPr>
      <w:r>
        <w:rPr>
          <w:rFonts w:ascii="Arial" w:cs="Arial" w:eastAsia="Arial" w:hAnsi="Arial"/>
          <w:color w:val="1A202C"/>
          <w:sz w:val="22"/>
          <w:szCs w:val="22"/>
        </w:rPr>
        <w:t xml:space="preserve">ABA Formal Opinion 512 directly addresses the risk of AI hallucinations undermining the duties of candor and meritorious claims. Vendors serving legal professionals should be able to articulate their approach to accuracy, including whether their system employs retrieval-augmented generation (RAG), source citation, or other grounding techniques. Ask for published accuracy benchmarks on legal-specific tasks, and evaluate whether the vendor’s testing methodology is relevant to your practice area.</w:t>
      </w:r>
    </w:p>
    <w:p>
      <w:pPr>
        <w:pStyle w:val="Heading2"/>
      </w:pPr>
      <w:r>
        <w:t xml:space="preserve">Insurance, Indemnification, and Liability</w:t>
      </w:r>
    </w:p>
    <w:p>
      <w:pPr>
        <w:spacing w:after="200" w:before="0" w:line="300"/>
        <w:jc w:val="left"/>
      </w:pPr>
      <w:r>
        <w:rPr>
          <w:rFonts w:ascii="Arial" w:cs="Arial" w:eastAsia="Arial" w:hAnsi="Arial"/>
          <w:color w:val="1A202C"/>
          <w:sz w:val="22"/>
          <w:szCs w:val="22"/>
        </w:rPr>
        <w:t xml:space="preserve">Review the vendor’s limitation of liability provisions carefully. Many legal AI vendors cap their liability at the fees paid during the prior 12 months—an amount that may be trivial relative to the malpractice exposure created by a faulty AI output. Evaluate whether the vendor carries errors and omissions insurance, whether indemnification provisions cover AI-specific failures, and whether the contract’s forum selection and dispute resolution provisions are favorable.</w:t>
      </w:r>
    </w:p>
    <w:p>
      <w:pPr>
        <w:pStyle w:val="Heading2"/>
      </w:pPr>
      <w:r>
        <w:t xml:space="preserve">Firm-Wide Governance Integration</w:t>
      </w:r>
    </w:p>
    <w:p>
      <w:pPr>
        <w:spacing w:after="200" w:before="0" w:line="300"/>
        <w:jc w:val="left"/>
      </w:pPr>
      <w:r>
        <w:rPr>
          <w:rFonts w:ascii="Arial" w:cs="Arial" w:eastAsia="Arial" w:hAnsi="Arial"/>
          <w:color w:val="1A202C"/>
          <w:sz w:val="22"/>
          <w:szCs w:val="22"/>
        </w:rPr>
        <w:t xml:space="preserve">ABA Formal Opinion 512 is explicit: managerial lawyers must establish firm-wide policies governing AI usage, and supervisory lawyers must ensure both attorney and non-attorney staff are trained on the ethical and practical dimensions of AI tools. This means vendor due diligence is not a one-time procurement exercise. It must integrate into ongoing governance systems that include periodic vendor re-evaluation, usage auditing, and staff training updates as tools evolve.</w:t>
      </w:r>
    </w:p>
    <w:p>
      <w:pPr>
        <w:pBdr>
          <w:bottom w:val="single" w:color="CBD5E0" w:sz="2" w:space="1"/>
        </w:pBdr>
        <w:spacing w:after="200" w:before="200"/>
      </w:pPr>
    </w:p>
    <w:p>
      <w:pPr>
        <w:pStyle w:val="Heading1"/>
      </w:pPr>
      <w:r>
        <w:t xml:space="preserve">Vendor Evaluation Scorecard</w:t>
      </w:r>
    </w:p>
    <w:p>
      <w:pPr>
        <w:spacing w:after="200" w:before="0" w:line="300"/>
        <w:jc w:val="left"/>
      </w:pPr>
      <w:r>
        <w:rPr>
          <w:rFonts w:ascii="Arial" w:cs="Arial" w:eastAsia="Arial" w:hAnsi="Arial"/>
          <w:color w:val="1A202C"/>
          <w:sz w:val="22"/>
          <w:szCs w:val="22"/>
        </w:rPr>
        <w:t xml:space="preserve">Use the following framework to structure your vendor evaluation. Score each dimension on a 1–5 scale (1 = does not meet requirements; 5 = exceeds requirements). Any score of 1 or 2 in Data Residency, Training Data Usage, or Data Exit Rights should be treated as a potential disqualifier.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700"/>
        <w:gridCol w:w="1730"/>
        <w:gridCol w:w="1730"/>
      </w:tblGrid>
      <w:tr>
        <w:tc>
          <w:tcPr>
            <w:tcW w:type="dxa" w:w="3200"/>
            <w:tcBorders>
              <w:top w:val="single" w:color="CBD5E0" w:sz="1"/>
              <w:left w:val="single" w:color="CBD5E0" w:sz="1"/>
              <w:bottom w:val="single" w:color="CBD5E0" w:sz="1"/>
              <w:right w:val="single" w:color="CBD5E0" w:sz="1"/>
            </w:tcBorders>
            <w:shd w:fill="1B2A4A" w:val="clear"/>
            <w:tcMar>
              <w:top w:type="dxa" w:w="100"/>
              <w:left w:type="dxa" w:w="140"/>
              <w:bottom w:type="dxa" w:w="100"/>
              <w:right w:type="dxa" w:w="140"/>
            </w:tcMar>
          </w:tcPr>
          <w:p>
            <w:pPr>
              <w:spacing w:after="40" w:before="0" w:line="300"/>
              <w:jc w:val="left"/>
            </w:pPr>
            <w:r>
              <w:rPr>
                <w:rFonts w:ascii="Arial" w:cs="Arial" w:eastAsia="Arial" w:hAnsi="Arial"/>
                <w:b/>
                <w:bCs/>
                <w:color w:val="FFFFFF"/>
                <w:sz w:val="20"/>
                <w:szCs w:val="20"/>
              </w:rPr>
              <w:t xml:space="preserve">Evaluation Dimension</w:t>
            </w:r>
          </w:p>
        </w:tc>
        <w:tc>
          <w:tcPr>
            <w:tcW w:type="dxa" w:w="2700"/>
            <w:tcBorders>
              <w:top w:val="single" w:color="CBD5E0" w:sz="1"/>
              <w:left w:val="single" w:color="CBD5E0" w:sz="1"/>
              <w:bottom w:val="single" w:color="CBD5E0" w:sz="1"/>
              <w:right w:val="single" w:color="CBD5E0" w:sz="1"/>
            </w:tcBorders>
            <w:shd w:fill="1B2A4A" w:val="clear"/>
            <w:tcMar>
              <w:top w:type="dxa" w:w="100"/>
              <w:left w:type="dxa" w:w="140"/>
              <w:bottom w:type="dxa" w:w="100"/>
              <w:right w:type="dxa" w:w="140"/>
            </w:tcMar>
          </w:tcPr>
          <w:p>
            <w:pPr>
              <w:spacing w:after="40" w:before="0" w:line="300"/>
              <w:jc w:val="left"/>
            </w:pPr>
            <w:r>
              <w:rPr>
                <w:rFonts w:ascii="Arial" w:cs="Arial" w:eastAsia="Arial" w:hAnsi="Arial"/>
                <w:b/>
                <w:bCs/>
                <w:color w:val="FFFFFF"/>
                <w:sz w:val="20"/>
                <w:szCs w:val="20"/>
              </w:rPr>
              <w:t xml:space="preserve">Key Inquiry</w:t>
            </w:r>
          </w:p>
        </w:tc>
        <w:tc>
          <w:tcPr>
            <w:tcW w:type="dxa" w:w="1730"/>
            <w:tcBorders>
              <w:top w:val="single" w:color="CBD5E0" w:sz="1"/>
              <w:left w:val="single" w:color="CBD5E0" w:sz="1"/>
              <w:bottom w:val="single" w:color="CBD5E0" w:sz="1"/>
              <w:right w:val="single" w:color="CBD5E0" w:sz="1"/>
            </w:tcBorders>
            <w:shd w:fill="1B2A4A" w:val="clear"/>
            <w:tcMar>
              <w:top w:type="dxa" w:w="100"/>
              <w:left w:type="dxa" w:w="140"/>
              <w:bottom w:type="dxa" w:w="100"/>
              <w:right w:type="dxa" w:w="140"/>
            </w:tcMar>
          </w:tcPr>
          <w:p>
            <w:pPr>
              <w:spacing w:after="40" w:before="0" w:line="300"/>
              <w:jc w:val="left"/>
            </w:pPr>
            <w:r>
              <w:rPr>
                <w:rFonts w:ascii="Arial" w:cs="Arial" w:eastAsia="Arial" w:hAnsi="Arial"/>
                <w:b/>
                <w:bCs/>
                <w:color w:val="FFFFFF"/>
                <w:sz w:val="20"/>
                <w:szCs w:val="20"/>
              </w:rPr>
              <w:t xml:space="preserve">Weight</w:t>
            </w:r>
          </w:p>
        </w:tc>
        <w:tc>
          <w:tcPr>
            <w:tcW w:type="dxa" w:w="1730"/>
            <w:tcBorders>
              <w:top w:val="single" w:color="CBD5E0" w:sz="1"/>
              <w:left w:val="single" w:color="CBD5E0" w:sz="1"/>
              <w:bottom w:val="single" w:color="CBD5E0" w:sz="1"/>
              <w:right w:val="single" w:color="CBD5E0" w:sz="1"/>
            </w:tcBorders>
            <w:shd w:fill="1B2A4A" w:val="clear"/>
            <w:tcMar>
              <w:top w:type="dxa" w:w="100"/>
              <w:left w:type="dxa" w:w="140"/>
              <w:bottom w:type="dxa" w:w="100"/>
              <w:right w:type="dxa" w:w="140"/>
            </w:tcMar>
          </w:tcPr>
          <w:p>
            <w:pPr>
              <w:spacing w:after="40" w:before="0" w:line="300"/>
              <w:jc w:val="left"/>
            </w:pPr>
            <w:r>
              <w:rPr>
                <w:rFonts w:ascii="Arial" w:cs="Arial" w:eastAsia="Arial" w:hAnsi="Arial"/>
                <w:b/>
                <w:bCs/>
                <w:color w:val="FFFFFF"/>
                <w:sz w:val="20"/>
                <w:szCs w:val="20"/>
              </w:rPr>
              <w:t xml:space="preserve">Score (1–5)</w:t>
            </w:r>
          </w:p>
        </w:tc>
      </w:tr>
      <w:tr>
        <w:tc>
          <w:tcPr>
            <w:tcW w:type="dxa" w:w="3200"/>
            <w:tcBorders>
              <w:top w:val="single" w:color="CBD5E0" w:sz="1"/>
              <w:left w:val="single" w:color="CBD5E0" w:sz="1"/>
              <w:bottom w:val="single" w:color="CBD5E0" w:sz="1"/>
              <w:right w:val="single" w:color="CBD5E0" w:sz="1"/>
            </w:tcBorders>
            <w:shd w:fill="E6F6F4" w:val="clear"/>
            <w:tcMar>
              <w:top w:type="dxa" w:w="100"/>
              <w:left w:type="dxa" w:w="140"/>
              <w:bottom w:type="dxa" w:w="100"/>
              <w:right w:type="dxa" w:w="140"/>
            </w:tcMar>
          </w:tcPr>
          <w:p>
            <w:pPr>
              <w:spacing w:after="40" w:before="0" w:line="300"/>
              <w:jc w:val="left"/>
            </w:pPr>
            <w:r>
              <w:rPr>
                <w:rFonts w:ascii="Arial" w:cs="Arial" w:eastAsia="Arial" w:hAnsi="Arial"/>
                <w:b/>
                <w:bCs/>
                <w:color w:val="1A202C"/>
                <w:sz w:val="20"/>
                <w:szCs w:val="20"/>
              </w:rPr>
              <w:t xml:space="preserve">Data Residency</w:t>
            </w:r>
          </w:p>
        </w:tc>
        <w:tc>
          <w:tcPr>
            <w:tcW w:type="dxa" w:w="2700"/>
            <w:tcBorders>
              <w:top w:val="single" w:color="CBD5E0" w:sz="1"/>
              <w:left w:val="single" w:color="CBD5E0" w:sz="1"/>
              <w:bottom w:val="single" w:color="CBD5E0" w:sz="1"/>
              <w:right w:val="single" w:color="CBD5E0" w:sz="1"/>
            </w:tcBorders>
            <w:shd w:fill="E6F6F4" w:val="clear"/>
            <w:tcMar>
              <w:top w:type="dxa" w:w="100"/>
              <w:left w:type="dxa" w:w="140"/>
              <w:bottom w:type="dxa" w:w="100"/>
              <w:right w:type="dxa" w:w="140"/>
            </w:tcMar>
          </w:tcPr>
          <w:p>
            <w:pPr>
              <w:spacing w:after="40" w:before="0" w:line="300"/>
              <w:jc w:val="left"/>
            </w:pPr>
            <w:r>
              <w:rPr>
                <w:rFonts w:ascii="Arial" w:cs="Arial" w:eastAsia="Arial" w:hAnsi="Arial"/>
                <w:color w:val="1A202C"/>
                <w:sz w:val="20"/>
                <w:szCs w:val="20"/>
              </w:rPr>
              <w:t xml:space="preserve">Location, SOC 2, sub-processors</w:t>
            </w:r>
          </w:p>
        </w:tc>
        <w:tc>
          <w:tcPr>
            <w:tcW w:type="dxa" w:w="1730"/>
            <w:tcBorders>
              <w:top w:val="single" w:color="CBD5E0" w:sz="1"/>
              <w:left w:val="single" w:color="CBD5E0" w:sz="1"/>
              <w:bottom w:val="single" w:color="CBD5E0" w:sz="1"/>
              <w:right w:val="single" w:color="CBD5E0" w:sz="1"/>
            </w:tcBorders>
            <w:shd w:fill="E6F6F4" w:val="clear"/>
            <w:tcMar>
              <w:top w:type="dxa" w:w="100"/>
              <w:left w:type="dxa" w:w="140"/>
              <w:bottom w:type="dxa" w:w="100"/>
              <w:right w:type="dxa" w:w="140"/>
            </w:tcMar>
          </w:tcPr>
          <w:p>
            <w:pPr>
              <w:spacing w:after="40" w:before="0" w:line="300"/>
              <w:jc w:val="center"/>
            </w:pPr>
            <w:r>
              <w:rPr>
                <w:rFonts w:ascii="Arial" w:cs="Arial" w:eastAsia="Arial" w:hAnsi="Arial"/>
                <w:color w:val="1A202C"/>
                <w:sz w:val="20"/>
                <w:szCs w:val="20"/>
              </w:rPr>
              <w:t xml:space="preserve">Critical</w:t>
            </w:r>
          </w:p>
        </w:tc>
        <w:tc>
          <w:tcPr>
            <w:tcW w:type="dxa" w:w="1730"/>
            <w:tcBorders>
              <w:top w:val="single" w:color="CBD5E0" w:sz="1"/>
              <w:left w:val="single" w:color="CBD5E0" w:sz="1"/>
              <w:bottom w:val="single" w:color="CBD5E0" w:sz="1"/>
              <w:right w:val="single" w:color="CBD5E0" w:sz="1"/>
            </w:tcBorders>
            <w:shd w:fill="E6F6F4" w:val="clear"/>
            <w:tcMar>
              <w:top w:type="dxa" w:w="100"/>
              <w:left w:type="dxa" w:w="140"/>
              <w:bottom w:type="dxa" w:w="100"/>
              <w:right w:type="dxa" w:w="140"/>
            </w:tcMar>
          </w:tcPr>
          <w:p>
            <w:pPr>
              <w:spacing w:after="40" w:before="0" w:line="300"/>
              <w:jc w:val="center"/>
            </w:pPr>
            <w:r>
              <w:rPr>
                <w:rFonts w:ascii="Arial" w:cs="Arial" w:eastAsia="Arial" w:hAnsi="Arial"/>
                <w:color w:val="718096"/>
                <w:sz w:val="20"/>
                <w:szCs w:val="20"/>
              </w:rPr>
              <w:t xml:space="preserve">____</w:t>
            </w:r>
          </w:p>
        </w:tc>
      </w:tr>
      <w:tr>
        <w:tc>
          <w:tcPr>
            <w:tcW w:type="dxa" w:w="3200"/>
            <w:tcBorders>
              <w:top w:val="single" w:color="CBD5E0" w:sz="1"/>
              <w:left w:val="single" w:color="CBD5E0" w:sz="1"/>
              <w:bottom w:val="single" w:color="CBD5E0" w:sz="1"/>
              <w:right w:val="single" w:color="CBD5E0" w:sz="1"/>
            </w:tcBorders>
            <w:shd w:fill="FFFFFF" w:val="clear"/>
            <w:tcMar>
              <w:top w:type="dxa" w:w="100"/>
              <w:left w:type="dxa" w:w="140"/>
              <w:bottom w:type="dxa" w:w="100"/>
              <w:right w:type="dxa" w:w="140"/>
            </w:tcMar>
          </w:tcPr>
          <w:p>
            <w:pPr>
              <w:spacing w:after="40" w:before="0" w:line="300"/>
              <w:jc w:val="left"/>
            </w:pPr>
            <w:r>
              <w:rPr>
                <w:rFonts w:ascii="Arial" w:cs="Arial" w:eastAsia="Arial" w:hAnsi="Arial"/>
                <w:b/>
                <w:bCs/>
                <w:color w:val="1A202C"/>
                <w:sz w:val="20"/>
                <w:szCs w:val="20"/>
              </w:rPr>
              <w:t xml:space="preserve">Training Data Policy</w:t>
            </w:r>
          </w:p>
        </w:tc>
        <w:tc>
          <w:tcPr>
            <w:tcW w:type="dxa" w:w="2700"/>
            <w:tcBorders>
              <w:top w:val="single" w:color="CBD5E0" w:sz="1"/>
              <w:left w:val="single" w:color="CBD5E0" w:sz="1"/>
              <w:bottom w:val="single" w:color="CBD5E0" w:sz="1"/>
              <w:right w:val="single" w:color="CBD5E0" w:sz="1"/>
            </w:tcBorders>
            <w:shd w:fill="FFFFFF" w:val="clear"/>
            <w:tcMar>
              <w:top w:type="dxa" w:w="100"/>
              <w:left w:type="dxa" w:w="140"/>
              <w:bottom w:type="dxa" w:w="100"/>
              <w:right w:type="dxa" w:w="140"/>
            </w:tcMar>
          </w:tcPr>
          <w:p>
            <w:pPr>
              <w:spacing w:after="40" w:before="0" w:line="300"/>
              <w:jc w:val="left"/>
            </w:pPr>
            <w:r>
              <w:rPr>
                <w:rFonts w:ascii="Arial" w:cs="Arial" w:eastAsia="Arial" w:hAnsi="Arial"/>
                <w:color w:val="1A202C"/>
                <w:sz w:val="20"/>
                <w:szCs w:val="20"/>
              </w:rPr>
              <w:t xml:space="preserve">Opt-out, ZDR, isolation</w:t>
            </w:r>
          </w:p>
        </w:tc>
        <w:tc>
          <w:tcPr>
            <w:tcW w:type="dxa" w:w="1730"/>
            <w:tcBorders>
              <w:top w:val="single" w:color="CBD5E0" w:sz="1"/>
              <w:left w:val="single" w:color="CBD5E0" w:sz="1"/>
              <w:bottom w:val="single" w:color="CBD5E0" w:sz="1"/>
              <w:right w:val="single" w:color="CBD5E0" w:sz="1"/>
            </w:tcBorders>
            <w:shd w:fill="FFFFFF" w:val="clear"/>
            <w:tcMar>
              <w:top w:type="dxa" w:w="100"/>
              <w:left w:type="dxa" w:w="140"/>
              <w:bottom w:type="dxa" w:w="100"/>
              <w:right w:type="dxa" w:w="140"/>
            </w:tcMar>
          </w:tcPr>
          <w:p>
            <w:pPr>
              <w:spacing w:after="40" w:before="0" w:line="300"/>
              <w:jc w:val="center"/>
            </w:pPr>
            <w:r>
              <w:rPr>
                <w:rFonts w:ascii="Arial" w:cs="Arial" w:eastAsia="Arial" w:hAnsi="Arial"/>
                <w:color w:val="1A202C"/>
                <w:sz w:val="20"/>
                <w:szCs w:val="20"/>
              </w:rPr>
              <w:t xml:space="preserve">Critical</w:t>
            </w:r>
          </w:p>
        </w:tc>
        <w:tc>
          <w:tcPr>
            <w:tcW w:type="dxa" w:w="1730"/>
            <w:tcBorders>
              <w:top w:val="single" w:color="CBD5E0" w:sz="1"/>
              <w:left w:val="single" w:color="CBD5E0" w:sz="1"/>
              <w:bottom w:val="single" w:color="CBD5E0" w:sz="1"/>
              <w:right w:val="single" w:color="CBD5E0" w:sz="1"/>
            </w:tcBorders>
            <w:shd w:fill="FFFFFF" w:val="clear"/>
            <w:tcMar>
              <w:top w:type="dxa" w:w="100"/>
              <w:left w:type="dxa" w:w="140"/>
              <w:bottom w:type="dxa" w:w="100"/>
              <w:right w:type="dxa" w:w="140"/>
            </w:tcMar>
          </w:tcPr>
          <w:p>
            <w:pPr>
              <w:spacing w:after="40" w:before="0" w:line="300"/>
              <w:jc w:val="center"/>
            </w:pPr>
            <w:r>
              <w:rPr>
                <w:rFonts w:ascii="Arial" w:cs="Arial" w:eastAsia="Arial" w:hAnsi="Arial"/>
                <w:color w:val="718096"/>
                <w:sz w:val="20"/>
                <w:szCs w:val="20"/>
              </w:rPr>
              <w:t xml:space="preserve">____</w:t>
            </w:r>
          </w:p>
        </w:tc>
      </w:tr>
      <w:tr>
        <w:tc>
          <w:tcPr>
            <w:tcW w:type="dxa" w:w="3200"/>
            <w:tcBorders>
              <w:top w:val="single" w:color="CBD5E0" w:sz="1"/>
              <w:left w:val="single" w:color="CBD5E0" w:sz="1"/>
              <w:bottom w:val="single" w:color="CBD5E0" w:sz="1"/>
              <w:right w:val="single" w:color="CBD5E0" w:sz="1"/>
            </w:tcBorders>
            <w:shd w:fill="E6F6F4" w:val="clear"/>
            <w:tcMar>
              <w:top w:type="dxa" w:w="100"/>
              <w:left w:type="dxa" w:w="140"/>
              <w:bottom w:type="dxa" w:w="100"/>
              <w:right w:type="dxa" w:w="140"/>
            </w:tcMar>
          </w:tcPr>
          <w:p>
            <w:pPr>
              <w:spacing w:after="40" w:before="0" w:line="300"/>
              <w:jc w:val="left"/>
            </w:pPr>
            <w:r>
              <w:rPr>
                <w:rFonts w:ascii="Arial" w:cs="Arial" w:eastAsia="Arial" w:hAnsi="Arial"/>
                <w:b/>
                <w:bCs/>
                <w:color w:val="1A202C"/>
                <w:sz w:val="20"/>
                <w:szCs w:val="20"/>
              </w:rPr>
              <w:t xml:space="preserve">Data Exit Rights</w:t>
            </w:r>
          </w:p>
        </w:tc>
        <w:tc>
          <w:tcPr>
            <w:tcW w:type="dxa" w:w="2700"/>
            <w:tcBorders>
              <w:top w:val="single" w:color="CBD5E0" w:sz="1"/>
              <w:left w:val="single" w:color="CBD5E0" w:sz="1"/>
              <w:bottom w:val="single" w:color="CBD5E0" w:sz="1"/>
              <w:right w:val="single" w:color="CBD5E0" w:sz="1"/>
            </w:tcBorders>
            <w:shd w:fill="E6F6F4" w:val="clear"/>
            <w:tcMar>
              <w:top w:type="dxa" w:w="100"/>
              <w:left w:type="dxa" w:w="140"/>
              <w:bottom w:type="dxa" w:w="100"/>
              <w:right w:type="dxa" w:w="140"/>
            </w:tcMar>
          </w:tcPr>
          <w:p>
            <w:pPr>
              <w:spacing w:after="40" w:before="0" w:line="300"/>
              <w:jc w:val="left"/>
            </w:pPr>
            <w:r>
              <w:rPr>
                <w:rFonts w:ascii="Arial" w:cs="Arial" w:eastAsia="Arial" w:hAnsi="Arial"/>
                <w:color w:val="1A202C"/>
                <w:sz w:val="20"/>
                <w:szCs w:val="20"/>
              </w:rPr>
              <w:t xml:space="preserve">Export, deletion, certification</w:t>
            </w:r>
          </w:p>
        </w:tc>
        <w:tc>
          <w:tcPr>
            <w:tcW w:type="dxa" w:w="1730"/>
            <w:tcBorders>
              <w:top w:val="single" w:color="CBD5E0" w:sz="1"/>
              <w:left w:val="single" w:color="CBD5E0" w:sz="1"/>
              <w:bottom w:val="single" w:color="CBD5E0" w:sz="1"/>
              <w:right w:val="single" w:color="CBD5E0" w:sz="1"/>
            </w:tcBorders>
            <w:shd w:fill="E6F6F4" w:val="clear"/>
            <w:tcMar>
              <w:top w:type="dxa" w:w="100"/>
              <w:left w:type="dxa" w:w="140"/>
              <w:bottom w:type="dxa" w:w="100"/>
              <w:right w:type="dxa" w:w="140"/>
            </w:tcMar>
          </w:tcPr>
          <w:p>
            <w:pPr>
              <w:spacing w:after="40" w:before="0" w:line="300"/>
              <w:jc w:val="center"/>
            </w:pPr>
            <w:r>
              <w:rPr>
                <w:rFonts w:ascii="Arial" w:cs="Arial" w:eastAsia="Arial" w:hAnsi="Arial"/>
                <w:color w:val="1A202C"/>
                <w:sz w:val="20"/>
                <w:szCs w:val="20"/>
              </w:rPr>
              <w:t xml:space="preserve">Critical</w:t>
            </w:r>
          </w:p>
        </w:tc>
        <w:tc>
          <w:tcPr>
            <w:tcW w:type="dxa" w:w="1730"/>
            <w:tcBorders>
              <w:top w:val="single" w:color="CBD5E0" w:sz="1"/>
              <w:left w:val="single" w:color="CBD5E0" w:sz="1"/>
              <w:bottom w:val="single" w:color="CBD5E0" w:sz="1"/>
              <w:right w:val="single" w:color="CBD5E0" w:sz="1"/>
            </w:tcBorders>
            <w:shd w:fill="E6F6F4" w:val="clear"/>
            <w:tcMar>
              <w:top w:type="dxa" w:w="100"/>
              <w:left w:type="dxa" w:w="140"/>
              <w:bottom w:type="dxa" w:w="100"/>
              <w:right w:type="dxa" w:w="140"/>
            </w:tcMar>
          </w:tcPr>
          <w:p>
            <w:pPr>
              <w:spacing w:after="40" w:before="0" w:line="300"/>
              <w:jc w:val="center"/>
            </w:pPr>
            <w:r>
              <w:rPr>
                <w:rFonts w:ascii="Arial" w:cs="Arial" w:eastAsia="Arial" w:hAnsi="Arial"/>
                <w:color w:val="718096"/>
                <w:sz w:val="20"/>
                <w:szCs w:val="20"/>
              </w:rPr>
              <w:t xml:space="preserve">____</w:t>
            </w:r>
          </w:p>
        </w:tc>
      </w:tr>
      <w:tr>
        <w:tc>
          <w:tcPr>
            <w:tcW w:type="dxa" w:w="3200"/>
            <w:tcBorders>
              <w:top w:val="single" w:color="CBD5E0" w:sz="1"/>
              <w:left w:val="single" w:color="CBD5E0" w:sz="1"/>
              <w:bottom w:val="single" w:color="CBD5E0" w:sz="1"/>
              <w:right w:val="single" w:color="CBD5E0" w:sz="1"/>
            </w:tcBorders>
            <w:shd w:fill="FFFFFF" w:val="clear"/>
            <w:tcMar>
              <w:top w:type="dxa" w:w="100"/>
              <w:left w:type="dxa" w:w="140"/>
              <w:bottom w:type="dxa" w:w="100"/>
              <w:right w:type="dxa" w:w="140"/>
            </w:tcMar>
          </w:tcPr>
          <w:p>
            <w:pPr>
              <w:spacing w:after="40" w:before="0" w:line="300"/>
              <w:jc w:val="left"/>
            </w:pPr>
            <w:r>
              <w:rPr>
                <w:rFonts w:ascii="Arial" w:cs="Arial" w:eastAsia="Arial" w:hAnsi="Arial"/>
                <w:b/>
                <w:bCs/>
                <w:color w:val="1A202C"/>
                <w:sz w:val="20"/>
                <w:szCs w:val="20"/>
              </w:rPr>
              <w:t xml:space="preserve">Model Transparency</w:t>
            </w:r>
          </w:p>
        </w:tc>
        <w:tc>
          <w:tcPr>
            <w:tcW w:type="dxa" w:w="2700"/>
            <w:tcBorders>
              <w:top w:val="single" w:color="CBD5E0" w:sz="1"/>
              <w:left w:val="single" w:color="CBD5E0" w:sz="1"/>
              <w:bottom w:val="single" w:color="CBD5E0" w:sz="1"/>
              <w:right w:val="single" w:color="CBD5E0" w:sz="1"/>
            </w:tcBorders>
            <w:shd w:fill="FFFFFF" w:val="clear"/>
            <w:tcMar>
              <w:top w:type="dxa" w:w="100"/>
              <w:left w:type="dxa" w:w="140"/>
              <w:bottom w:type="dxa" w:w="100"/>
              <w:right w:type="dxa" w:w="140"/>
            </w:tcMar>
          </w:tcPr>
          <w:p>
            <w:pPr>
              <w:spacing w:after="40" w:before="0" w:line="300"/>
              <w:jc w:val="left"/>
            </w:pPr>
            <w:r>
              <w:rPr>
                <w:rFonts w:ascii="Arial" w:cs="Arial" w:eastAsia="Arial" w:hAnsi="Arial"/>
                <w:color w:val="1A202C"/>
                <w:sz w:val="20"/>
                <w:szCs w:val="20"/>
              </w:rPr>
              <w:t xml:space="preserve">Explainability, RAG, sourcing</w:t>
            </w:r>
          </w:p>
        </w:tc>
        <w:tc>
          <w:tcPr>
            <w:tcW w:type="dxa" w:w="1730"/>
            <w:tcBorders>
              <w:top w:val="single" w:color="CBD5E0" w:sz="1"/>
              <w:left w:val="single" w:color="CBD5E0" w:sz="1"/>
              <w:bottom w:val="single" w:color="CBD5E0" w:sz="1"/>
              <w:right w:val="single" w:color="CBD5E0" w:sz="1"/>
            </w:tcBorders>
            <w:shd w:fill="FFFFFF" w:val="clear"/>
            <w:tcMar>
              <w:top w:type="dxa" w:w="100"/>
              <w:left w:type="dxa" w:w="140"/>
              <w:bottom w:type="dxa" w:w="100"/>
              <w:right w:type="dxa" w:w="140"/>
            </w:tcMar>
          </w:tcPr>
          <w:p>
            <w:pPr>
              <w:spacing w:after="40" w:before="0" w:line="300"/>
              <w:jc w:val="center"/>
            </w:pPr>
            <w:r>
              <w:rPr>
                <w:rFonts w:ascii="Arial" w:cs="Arial" w:eastAsia="Arial" w:hAnsi="Arial"/>
                <w:color w:val="1A202C"/>
                <w:sz w:val="20"/>
                <w:szCs w:val="20"/>
              </w:rPr>
              <w:t xml:space="preserve">High</w:t>
            </w:r>
          </w:p>
        </w:tc>
        <w:tc>
          <w:tcPr>
            <w:tcW w:type="dxa" w:w="1730"/>
            <w:tcBorders>
              <w:top w:val="single" w:color="CBD5E0" w:sz="1"/>
              <w:left w:val="single" w:color="CBD5E0" w:sz="1"/>
              <w:bottom w:val="single" w:color="CBD5E0" w:sz="1"/>
              <w:right w:val="single" w:color="CBD5E0" w:sz="1"/>
            </w:tcBorders>
            <w:shd w:fill="FFFFFF" w:val="clear"/>
            <w:tcMar>
              <w:top w:type="dxa" w:w="100"/>
              <w:left w:type="dxa" w:w="140"/>
              <w:bottom w:type="dxa" w:w="100"/>
              <w:right w:type="dxa" w:w="140"/>
            </w:tcMar>
          </w:tcPr>
          <w:p>
            <w:pPr>
              <w:spacing w:after="40" w:before="0" w:line="300"/>
              <w:jc w:val="center"/>
            </w:pPr>
            <w:r>
              <w:rPr>
                <w:rFonts w:ascii="Arial" w:cs="Arial" w:eastAsia="Arial" w:hAnsi="Arial"/>
                <w:color w:val="718096"/>
                <w:sz w:val="20"/>
                <w:szCs w:val="20"/>
              </w:rPr>
              <w:t xml:space="preserve">____</w:t>
            </w:r>
          </w:p>
        </w:tc>
      </w:tr>
      <w:tr>
        <w:tc>
          <w:tcPr>
            <w:tcW w:type="dxa" w:w="3200"/>
            <w:tcBorders>
              <w:top w:val="single" w:color="CBD5E0" w:sz="1"/>
              <w:left w:val="single" w:color="CBD5E0" w:sz="1"/>
              <w:bottom w:val="single" w:color="CBD5E0" w:sz="1"/>
              <w:right w:val="single" w:color="CBD5E0" w:sz="1"/>
            </w:tcBorders>
            <w:shd w:fill="E6F6F4" w:val="clear"/>
            <w:tcMar>
              <w:top w:type="dxa" w:w="100"/>
              <w:left w:type="dxa" w:w="140"/>
              <w:bottom w:type="dxa" w:w="100"/>
              <w:right w:type="dxa" w:w="140"/>
            </w:tcMar>
          </w:tcPr>
          <w:p>
            <w:pPr>
              <w:spacing w:after="40" w:before="0" w:line="300"/>
              <w:jc w:val="left"/>
            </w:pPr>
            <w:r>
              <w:rPr>
                <w:rFonts w:ascii="Arial" w:cs="Arial" w:eastAsia="Arial" w:hAnsi="Arial"/>
                <w:b/>
                <w:bCs/>
                <w:color w:val="1A202C"/>
                <w:sz w:val="20"/>
                <w:szCs w:val="20"/>
              </w:rPr>
              <w:t xml:space="preserve">Accuracy &amp; Hallucination</w:t>
            </w:r>
          </w:p>
        </w:tc>
        <w:tc>
          <w:tcPr>
            <w:tcW w:type="dxa" w:w="2700"/>
            <w:tcBorders>
              <w:top w:val="single" w:color="CBD5E0" w:sz="1"/>
              <w:left w:val="single" w:color="CBD5E0" w:sz="1"/>
              <w:bottom w:val="single" w:color="CBD5E0" w:sz="1"/>
              <w:right w:val="single" w:color="CBD5E0" w:sz="1"/>
            </w:tcBorders>
            <w:shd w:fill="E6F6F4" w:val="clear"/>
            <w:tcMar>
              <w:top w:type="dxa" w:w="100"/>
              <w:left w:type="dxa" w:w="140"/>
              <w:bottom w:type="dxa" w:w="100"/>
              <w:right w:type="dxa" w:w="140"/>
            </w:tcMar>
          </w:tcPr>
          <w:p>
            <w:pPr>
              <w:spacing w:after="40" w:before="0" w:line="300"/>
              <w:jc w:val="left"/>
            </w:pPr>
            <w:r>
              <w:rPr>
                <w:rFonts w:ascii="Arial" w:cs="Arial" w:eastAsia="Arial" w:hAnsi="Arial"/>
                <w:color w:val="1A202C"/>
                <w:sz w:val="20"/>
                <w:szCs w:val="20"/>
              </w:rPr>
              <w:t xml:space="preserve">Benchmarks, grounding, testing</w:t>
            </w:r>
          </w:p>
        </w:tc>
        <w:tc>
          <w:tcPr>
            <w:tcW w:type="dxa" w:w="1730"/>
            <w:tcBorders>
              <w:top w:val="single" w:color="CBD5E0" w:sz="1"/>
              <w:left w:val="single" w:color="CBD5E0" w:sz="1"/>
              <w:bottom w:val="single" w:color="CBD5E0" w:sz="1"/>
              <w:right w:val="single" w:color="CBD5E0" w:sz="1"/>
            </w:tcBorders>
            <w:shd w:fill="E6F6F4" w:val="clear"/>
            <w:tcMar>
              <w:top w:type="dxa" w:w="100"/>
              <w:left w:type="dxa" w:w="140"/>
              <w:bottom w:type="dxa" w:w="100"/>
              <w:right w:type="dxa" w:w="140"/>
            </w:tcMar>
          </w:tcPr>
          <w:p>
            <w:pPr>
              <w:spacing w:after="40" w:before="0" w:line="300"/>
              <w:jc w:val="center"/>
            </w:pPr>
            <w:r>
              <w:rPr>
                <w:rFonts w:ascii="Arial" w:cs="Arial" w:eastAsia="Arial" w:hAnsi="Arial"/>
                <w:color w:val="1A202C"/>
                <w:sz w:val="20"/>
                <w:szCs w:val="20"/>
              </w:rPr>
              <w:t xml:space="preserve">High</w:t>
            </w:r>
          </w:p>
        </w:tc>
        <w:tc>
          <w:tcPr>
            <w:tcW w:type="dxa" w:w="1730"/>
            <w:tcBorders>
              <w:top w:val="single" w:color="CBD5E0" w:sz="1"/>
              <w:left w:val="single" w:color="CBD5E0" w:sz="1"/>
              <w:bottom w:val="single" w:color="CBD5E0" w:sz="1"/>
              <w:right w:val="single" w:color="CBD5E0" w:sz="1"/>
            </w:tcBorders>
            <w:shd w:fill="E6F6F4" w:val="clear"/>
            <w:tcMar>
              <w:top w:type="dxa" w:w="100"/>
              <w:left w:type="dxa" w:w="140"/>
              <w:bottom w:type="dxa" w:w="100"/>
              <w:right w:type="dxa" w:w="140"/>
            </w:tcMar>
          </w:tcPr>
          <w:p>
            <w:pPr>
              <w:spacing w:after="40" w:before="0" w:line="300"/>
              <w:jc w:val="center"/>
            </w:pPr>
            <w:r>
              <w:rPr>
                <w:rFonts w:ascii="Arial" w:cs="Arial" w:eastAsia="Arial" w:hAnsi="Arial"/>
                <w:color w:val="718096"/>
                <w:sz w:val="20"/>
                <w:szCs w:val="20"/>
              </w:rPr>
              <w:t xml:space="preserve">____</w:t>
            </w:r>
          </w:p>
        </w:tc>
      </w:tr>
      <w:tr>
        <w:tc>
          <w:tcPr>
            <w:tcW w:type="dxa" w:w="3200"/>
            <w:tcBorders>
              <w:top w:val="single" w:color="CBD5E0" w:sz="1"/>
              <w:left w:val="single" w:color="CBD5E0" w:sz="1"/>
              <w:bottom w:val="single" w:color="CBD5E0" w:sz="1"/>
              <w:right w:val="single" w:color="CBD5E0" w:sz="1"/>
            </w:tcBorders>
            <w:shd w:fill="FFFFFF" w:val="clear"/>
            <w:tcMar>
              <w:top w:type="dxa" w:w="100"/>
              <w:left w:type="dxa" w:w="140"/>
              <w:bottom w:type="dxa" w:w="100"/>
              <w:right w:type="dxa" w:w="140"/>
            </w:tcMar>
          </w:tcPr>
          <w:p>
            <w:pPr>
              <w:spacing w:after="40" w:before="0" w:line="300"/>
              <w:jc w:val="left"/>
            </w:pPr>
            <w:r>
              <w:rPr>
                <w:rFonts w:ascii="Arial" w:cs="Arial" w:eastAsia="Arial" w:hAnsi="Arial"/>
                <w:b/>
                <w:bCs/>
                <w:color w:val="1A202C"/>
                <w:sz w:val="20"/>
                <w:szCs w:val="20"/>
              </w:rPr>
              <w:t xml:space="preserve">Regulatory Compliance</w:t>
            </w:r>
          </w:p>
        </w:tc>
        <w:tc>
          <w:tcPr>
            <w:tcW w:type="dxa" w:w="2700"/>
            <w:tcBorders>
              <w:top w:val="single" w:color="CBD5E0" w:sz="1"/>
              <w:left w:val="single" w:color="CBD5E0" w:sz="1"/>
              <w:bottom w:val="single" w:color="CBD5E0" w:sz="1"/>
              <w:right w:val="single" w:color="CBD5E0" w:sz="1"/>
            </w:tcBorders>
            <w:shd w:fill="FFFFFF" w:val="clear"/>
            <w:tcMar>
              <w:top w:type="dxa" w:w="100"/>
              <w:left w:type="dxa" w:w="140"/>
              <w:bottom w:type="dxa" w:w="100"/>
              <w:right w:type="dxa" w:w="140"/>
            </w:tcMar>
          </w:tcPr>
          <w:p>
            <w:pPr>
              <w:spacing w:after="40" w:before="0" w:line="300"/>
              <w:jc w:val="left"/>
            </w:pPr>
            <w:r>
              <w:rPr>
                <w:rFonts w:ascii="Arial" w:cs="Arial" w:eastAsia="Arial" w:hAnsi="Arial"/>
                <w:color w:val="1A202C"/>
                <w:sz w:val="20"/>
                <w:szCs w:val="20"/>
              </w:rPr>
              <w:t xml:space="preserve">EU AI Act, CCPA, state bars</w:t>
            </w:r>
          </w:p>
        </w:tc>
        <w:tc>
          <w:tcPr>
            <w:tcW w:type="dxa" w:w="1730"/>
            <w:tcBorders>
              <w:top w:val="single" w:color="CBD5E0" w:sz="1"/>
              <w:left w:val="single" w:color="CBD5E0" w:sz="1"/>
              <w:bottom w:val="single" w:color="CBD5E0" w:sz="1"/>
              <w:right w:val="single" w:color="CBD5E0" w:sz="1"/>
            </w:tcBorders>
            <w:shd w:fill="FFFFFF" w:val="clear"/>
            <w:tcMar>
              <w:top w:type="dxa" w:w="100"/>
              <w:left w:type="dxa" w:w="140"/>
              <w:bottom w:type="dxa" w:w="100"/>
              <w:right w:type="dxa" w:w="140"/>
            </w:tcMar>
          </w:tcPr>
          <w:p>
            <w:pPr>
              <w:spacing w:after="40" w:before="0" w:line="300"/>
              <w:jc w:val="center"/>
            </w:pPr>
            <w:r>
              <w:rPr>
                <w:rFonts w:ascii="Arial" w:cs="Arial" w:eastAsia="Arial" w:hAnsi="Arial"/>
                <w:color w:val="1A202C"/>
                <w:sz w:val="20"/>
                <w:szCs w:val="20"/>
              </w:rPr>
              <w:t xml:space="preserve">High</w:t>
            </w:r>
          </w:p>
        </w:tc>
        <w:tc>
          <w:tcPr>
            <w:tcW w:type="dxa" w:w="1730"/>
            <w:tcBorders>
              <w:top w:val="single" w:color="CBD5E0" w:sz="1"/>
              <w:left w:val="single" w:color="CBD5E0" w:sz="1"/>
              <w:bottom w:val="single" w:color="CBD5E0" w:sz="1"/>
              <w:right w:val="single" w:color="CBD5E0" w:sz="1"/>
            </w:tcBorders>
            <w:shd w:fill="FFFFFF" w:val="clear"/>
            <w:tcMar>
              <w:top w:type="dxa" w:w="100"/>
              <w:left w:type="dxa" w:w="140"/>
              <w:bottom w:type="dxa" w:w="100"/>
              <w:right w:type="dxa" w:w="140"/>
            </w:tcMar>
          </w:tcPr>
          <w:p>
            <w:pPr>
              <w:spacing w:after="40" w:before="0" w:line="300"/>
              <w:jc w:val="center"/>
            </w:pPr>
            <w:r>
              <w:rPr>
                <w:rFonts w:ascii="Arial" w:cs="Arial" w:eastAsia="Arial" w:hAnsi="Arial"/>
                <w:color w:val="718096"/>
                <w:sz w:val="20"/>
                <w:szCs w:val="20"/>
              </w:rPr>
              <w:t xml:space="preserve">____</w:t>
            </w:r>
          </w:p>
        </w:tc>
      </w:tr>
      <w:tr>
        <w:tc>
          <w:tcPr>
            <w:tcW w:type="dxa" w:w="3200"/>
            <w:tcBorders>
              <w:top w:val="single" w:color="CBD5E0" w:sz="1"/>
              <w:left w:val="single" w:color="CBD5E0" w:sz="1"/>
              <w:bottom w:val="single" w:color="CBD5E0" w:sz="1"/>
              <w:right w:val="single" w:color="CBD5E0" w:sz="1"/>
            </w:tcBorders>
            <w:shd w:fill="E6F6F4" w:val="clear"/>
            <w:tcMar>
              <w:top w:type="dxa" w:w="100"/>
              <w:left w:type="dxa" w:w="140"/>
              <w:bottom w:type="dxa" w:w="100"/>
              <w:right w:type="dxa" w:w="140"/>
            </w:tcMar>
          </w:tcPr>
          <w:p>
            <w:pPr>
              <w:spacing w:after="40" w:before="0" w:line="300"/>
              <w:jc w:val="left"/>
            </w:pPr>
            <w:r>
              <w:rPr>
                <w:rFonts w:ascii="Arial" w:cs="Arial" w:eastAsia="Arial" w:hAnsi="Arial"/>
                <w:b/>
                <w:bCs/>
                <w:color w:val="1A202C"/>
                <w:sz w:val="20"/>
                <w:szCs w:val="20"/>
              </w:rPr>
              <w:t xml:space="preserve">Security Posture</w:t>
            </w:r>
          </w:p>
        </w:tc>
        <w:tc>
          <w:tcPr>
            <w:tcW w:type="dxa" w:w="2700"/>
            <w:tcBorders>
              <w:top w:val="single" w:color="CBD5E0" w:sz="1"/>
              <w:left w:val="single" w:color="CBD5E0" w:sz="1"/>
              <w:bottom w:val="single" w:color="CBD5E0" w:sz="1"/>
              <w:right w:val="single" w:color="CBD5E0" w:sz="1"/>
            </w:tcBorders>
            <w:shd w:fill="E6F6F4" w:val="clear"/>
            <w:tcMar>
              <w:top w:type="dxa" w:w="100"/>
              <w:left w:type="dxa" w:w="140"/>
              <w:bottom w:type="dxa" w:w="100"/>
              <w:right w:type="dxa" w:w="140"/>
            </w:tcMar>
          </w:tcPr>
          <w:p>
            <w:pPr>
              <w:spacing w:after="40" w:before="0" w:line="300"/>
              <w:jc w:val="left"/>
            </w:pPr>
            <w:r>
              <w:rPr>
                <w:rFonts w:ascii="Arial" w:cs="Arial" w:eastAsia="Arial" w:hAnsi="Arial"/>
                <w:color w:val="1A202C"/>
                <w:sz w:val="20"/>
                <w:szCs w:val="20"/>
              </w:rPr>
              <w:t xml:space="preserve">Encryption, access controls, MFA</w:t>
            </w:r>
          </w:p>
        </w:tc>
        <w:tc>
          <w:tcPr>
            <w:tcW w:type="dxa" w:w="1730"/>
            <w:tcBorders>
              <w:top w:val="single" w:color="CBD5E0" w:sz="1"/>
              <w:left w:val="single" w:color="CBD5E0" w:sz="1"/>
              <w:bottom w:val="single" w:color="CBD5E0" w:sz="1"/>
              <w:right w:val="single" w:color="CBD5E0" w:sz="1"/>
            </w:tcBorders>
            <w:shd w:fill="E6F6F4" w:val="clear"/>
            <w:tcMar>
              <w:top w:type="dxa" w:w="100"/>
              <w:left w:type="dxa" w:w="140"/>
              <w:bottom w:type="dxa" w:w="100"/>
              <w:right w:type="dxa" w:w="140"/>
            </w:tcMar>
          </w:tcPr>
          <w:p>
            <w:pPr>
              <w:spacing w:after="40" w:before="0" w:line="300"/>
              <w:jc w:val="center"/>
            </w:pPr>
            <w:r>
              <w:rPr>
                <w:rFonts w:ascii="Arial" w:cs="Arial" w:eastAsia="Arial" w:hAnsi="Arial"/>
                <w:color w:val="1A202C"/>
                <w:sz w:val="20"/>
                <w:szCs w:val="20"/>
              </w:rPr>
              <w:t xml:space="preserve">High</w:t>
            </w:r>
          </w:p>
        </w:tc>
        <w:tc>
          <w:tcPr>
            <w:tcW w:type="dxa" w:w="1730"/>
            <w:tcBorders>
              <w:top w:val="single" w:color="CBD5E0" w:sz="1"/>
              <w:left w:val="single" w:color="CBD5E0" w:sz="1"/>
              <w:bottom w:val="single" w:color="CBD5E0" w:sz="1"/>
              <w:right w:val="single" w:color="CBD5E0" w:sz="1"/>
            </w:tcBorders>
            <w:shd w:fill="E6F6F4" w:val="clear"/>
            <w:tcMar>
              <w:top w:type="dxa" w:w="100"/>
              <w:left w:type="dxa" w:w="140"/>
              <w:bottom w:type="dxa" w:w="100"/>
              <w:right w:type="dxa" w:w="140"/>
            </w:tcMar>
          </w:tcPr>
          <w:p>
            <w:pPr>
              <w:spacing w:after="40" w:before="0" w:line="300"/>
              <w:jc w:val="center"/>
            </w:pPr>
            <w:r>
              <w:rPr>
                <w:rFonts w:ascii="Arial" w:cs="Arial" w:eastAsia="Arial" w:hAnsi="Arial"/>
                <w:color w:val="718096"/>
                <w:sz w:val="20"/>
                <w:szCs w:val="20"/>
              </w:rPr>
              <w:t xml:space="preserve">____</w:t>
            </w:r>
          </w:p>
        </w:tc>
      </w:tr>
      <w:tr>
        <w:tc>
          <w:tcPr>
            <w:tcW w:type="dxa" w:w="3200"/>
            <w:tcBorders>
              <w:top w:val="single" w:color="CBD5E0" w:sz="1"/>
              <w:left w:val="single" w:color="CBD5E0" w:sz="1"/>
              <w:bottom w:val="single" w:color="CBD5E0" w:sz="1"/>
              <w:right w:val="single" w:color="CBD5E0" w:sz="1"/>
            </w:tcBorders>
            <w:shd w:fill="FFFFFF" w:val="clear"/>
            <w:tcMar>
              <w:top w:type="dxa" w:w="100"/>
              <w:left w:type="dxa" w:w="140"/>
              <w:bottom w:type="dxa" w:w="100"/>
              <w:right w:type="dxa" w:w="140"/>
            </w:tcMar>
          </w:tcPr>
          <w:p>
            <w:pPr>
              <w:spacing w:after="40" w:before="0" w:line="300"/>
              <w:jc w:val="left"/>
            </w:pPr>
            <w:r>
              <w:rPr>
                <w:rFonts w:ascii="Arial" w:cs="Arial" w:eastAsia="Arial" w:hAnsi="Arial"/>
                <w:b/>
                <w:bCs/>
                <w:color w:val="1A202C"/>
                <w:sz w:val="20"/>
                <w:szCs w:val="20"/>
              </w:rPr>
              <w:t xml:space="preserve">Liability &amp; Insurance</w:t>
            </w:r>
          </w:p>
        </w:tc>
        <w:tc>
          <w:tcPr>
            <w:tcW w:type="dxa" w:w="2700"/>
            <w:tcBorders>
              <w:top w:val="single" w:color="CBD5E0" w:sz="1"/>
              <w:left w:val="single" w:color="CBD5E0" w:sz="1"/>
              <w:bottom w:val="single" w:color="CBD5E0" w:sz="1"/>
              <w:right w:val="single" w:color="CBD5E0" w:sz="1"/>
            </w:tcBorders>
            <w:shd w:fill="FFFFFF" w:val="clear"/>
            <w:tcMar>
              <w:top w:type="dxa" w:w="100"/>
              <w:left w:type="dxa" w:w="140"/>
              <w:bottom w:type="dxa" w:w="100"/>
              <w:right w:type="dxa" w:w="140"/>
            </w:tcMar>
          </w:tcPr>
          <w:p>
            <w:pPr>
              <w:spacing w:after="40" w:before="0" w:line="300"/>
              <w:jc w:val="left"/>
            </w:pPr>
            <w:r>
              <w:rPr>
                <w:rFonts w:ascii="Arial" w:cs="Arial" w:eastAsia="Arial" w:hAnsi="Arial"/>
                <w:color w:val="1A202C"/>
                <w:sz w:val="20"/>
                <w:szCs w:val="20"/>
              </w:rPr>
              <w:t xml:space="preserve">Indemnification, E&amp;O, caps</w:t>
            </w:r>
          </w:p>
        </w:tc>
        <w:tc>
          <w:tcPr>
            <w:tcW w:type="dxa" w:w="1730"/>
            <w:tcBorders>
              <w:top w:val="single" w:color="CBD5E0" w:sz="1"/>
              <w:left w:val="single" w:color="CBD5E0" w:sz="1"/>
              <w:bottom w:val="single" w:color="CBD5E0" w:sz="1"/>
              <w:right w:val="single" w:color="CBD5E0" w:sz="1"/>
            </w:tcBorders>
            <w:shd w:fill="FFFFFF" w:val="clear"/>
            <w:tcMar>
              <w:top w:type="dxa" w:w="100"/>
              <w:left w:type="dxa" w:w="140"/>
              <w:bottom w:type="dxa" w:w="100"/>
              <w:right w:type="dxa" w:w="140"/>
            </w:tcMar>
          </w:tcPr>
          <w:p>
            <w:pPr>
              <w:spacing w:after="40" w:before="0" w:line="300"/>
              <w:jc w:val="center"/>
            </w:pPr>
            <w:r>
              <w:rPr>
                <w:rFonts w:ascii="Arial" w:cs="Arial" w:eastAsia="Arial" w:hAnsi="Arial"/>
                <w:color w:val="1A202C"/>
                <w:sz w:val="20"/>
                <w:szCs w:val="20"/>
              </w:rPr>
              <w:t xml:space="preserve">Medium</w:t>
            </w:r>
          </w:p>
        </w:tc>
        <w:tc>
          <w:tcPr>
            <w:tcW w:type="dxa" w:w="1730"/>
            <w:tcBorders>
              <w:top w:val="single" w:color="CBD5E0" w:sz="1"/>
              <w:left w:val="single" w:color="CBD5E0" w:sz="1"/>
              <w:bottom w:val="single" w:color="CBD5E0" w:sz="1"/>
              <w:right w:val="single" w:color="CBD5E0" w:sz="1"/>
            </w:tcBorders>
            <w:shd w:fill="FFFFFF" w:val="clear"/>
            <w:tcMar>
              <w:top w:type="dxa" w:w="100"/>
              <w:left w:type="dxa" w:w="140"/>
              <w:bottom w:type="dxa" w:w="100"/>
              <w:right w:type="dxa" w:w="140"/>
            </w:tcMar>
          </w:tcPr>
          <w:p>
            <w:pPr>
              <w:spacing w:after="40" w:before="0" w:line="300"/>
              <w:jc w:val="center"/>
            </w:pPr>
            <w:r>
              <w:rPr>
                <w:rFonts w:ascii="Arial" w:cs="Arial" w:eastAsia="Arial" w:hAnsi="Arial"/>
                <w:color w:val="718096"/>
                <w:sz w:val="20"/>
                <w:szCs w:val="20"/>
              </w:rPr>
              <w:t xml:space="preserve">____</w:t>
            </w:r>
          </w:p>
        </w:tc>
      </w:tr>
      <w:tr>
        <w:tc>
          <w:tcPr>
            <w:tcW w:type="dxa" w:w="3200"/>
            <w:tcBorders>
              <w:top w:val="single" w:color="CBD5E0" w:sz="1"/>
              <w:left w:val="single" w:color="CBD5E0" w:sz="1"/>
              <w:bottom w:val="single" w:color="CBD5E0" w:sz="1"/>
              <w:right w:val="single" w:color="CBD5E0" w:sz="1"/>
            </w:tcBorders>
            <w:shd w:fill="E6F6F4" w:val="clear"/>
            <w:tcMar>
              <w:top w:type="dxa" w:w="100"/>
              <w:left w:type="dxa" w:w="140"/>
              <w:bottom w:type="dxa" w:w="100"/>
              <w:right w:type="dxa" w:w="140"/>
            </w:tcMar>
          </w:tcPr>
          <w:p>
            <w:pPr>
              <w:spacing w:after="40" w:before="0" w:line="300"/>
              <w:jc w:val="left"/>
            </w:pPr>
            <w:r>
              <w:rPr>
                <w:rFonts w:ascii="Arial" w:cs="Arial" w:eastAsia="Arial" w:hAnsi="Arial"/>
                <w:b/>
                <w:bCs/>
                <w:color w:val="1A202C"/>
                <w:sz w:val="20"/>
                <w:szCs w:val="20"/>
              </w:rPr>
              <w:t xml:space="preserve">Contract Flexibility</w:t>
            </w:r>
          </w:p>
        </w:tc>
        <w:tc>
          <w:tcPr>
            <w:tcW w:type="dxa" w:w="2700"/>
            <w:tcBorders>
              <w:top w:val="single" w:color="CBD5E0" w:sz="1"/>
              <w:left w:val="single" w:color="CBD5E0" w:sz="1"/>
              <w:bottom w:val="single" w:color="CBD5E0" w:sz="1"/>
              <w:right w:val="single" w:color="CBD5E0" w:sz="1"/>
            </w:tcBorders>
            <w:shd w:fill="E6F6F4" w:val="clear"/>
            <w:tcMar>
              <w:top w:type="dxa" w:w="100"/>
              <w:left w:type="dxa" w:w="140"/>
              <w:bottom w:type="dxa" w:w="100"/>
              <w:right w:type="dxa" w:w="140"/>
            </w:tcMar>
          </w:tcPr>
          <w:p>
            <w:pPr>
              <w:spacing w:after="40" w:before="0" w:line="300"/>
              <w:jc w:val="left"/>
            </w:pPr>
            <w:r>
              <w:rPr>
                <w:rFonts w:ascii="Arial" w:cs="Arial" w:eastAsia="Arial" w:hAnsi="Arial"/>
                <w:color w:val="1A202C"/>
                <w:sz w:val="20"/>
                <w:szCs w:val="20"/>
              </w:rPr>
              <w:t xml:space="preserve">Assignment, term, termination</w:t>
            </w:r>
          </w:p>
        </w:tc>
        <w:tc>
          <w:tcPr>
            <w:tcW w:type="dxa" w:w="1730"/>
            <w:tcBorders>
              <w:top w:val="single" w:color="CBD5E0" w:sz="1"/>
              <w:left w:val="single" w:color="CBD5E0" w:sz="1"/>
              <w:bottom w:val="single" w:color="CBD5E0" w:sz="1"/>
              <w:right w:val="single" w:color="CBD5E0" w:sz="1"/>
            </w:tcBorders>
            <w:shd w:fill="E6F6F4" w:val="clear"/>
            <w:tcMar>
              <w:top w:type="dxa" w:w="100"/>
              <w:left w:type="dxa" w:w="140"/>
              <w:bottom w:type="dxa" w:w="100"/>
              <w:right w:type="dxa" w:w="140"/>
            </w:tcMar>
          </w:tcPr>
          <w:p>
            <w:pPr>
              <w:spacing w:after="40" w:before="0" w:line="300"/>
              <w:jc w:val="center"/>
            </w:pPr>
            <w:r>
              <w:rPr>
                <w:rFonts w:ascii="Arial" w:cs="Arial" w:eastAsia="Arial" w:hAnsi="Arial"/>
                <w:color w:val="1A202C"/>
                <w:sz w:val="20"/>
                <w:szCs w:val="20"/>
              </w:rPr>
              <w:t xml:space="preserve">Medium</w:t>
            </w:r>
          </w:p>
        </w:tc>
        <w:tc>
          <w:tcPr>
            <w:tcW w:type="dxa" w:w="1730"/>
            <w:tcBorders>
              <w:top w:val="single" w:color="CBD5E0" w:sz="1"/>
              <w:left w:val="single" w:color="CBD5E0" w:sz="1"/>
              <w:bottom w:val="single" w:color="CBD5E0" w:sz="1"/>
              <w:right w:val="single" w:color="CBD5E0" w:sz="1"/>
            </w:tcBorders>
            <w:shd w:fill="E6F6F4" w:val="clear"/>
            <w:tcMar>
              <w:top w:type="dxa" w:w="100"/>
              <w:left w:type="dxa" w:w="140"/>
              <w:bottom w:type="dxa" w:w="100"/>
              <w:right w:type="dxa" w:w="140"/>
            </w:tcMar>
          </w:tcPr>
          <w:p>
            <w:pPr>
              <w:spacing w:after="40" w:before="0" w:line="300"/>
              <w:jc w:val="center"/>
            </w:pPr>
            <w:r>
              <w:rPr>
                <w:rFonts w:ascii="Arial" w:cs="Arial" w:eastAsia="Arial" w:hAnsi="Arial"/>
                <w:color w:val="718096"/>
                <w:sz w:val="20"/>
                <w:szCs w:val="20"/>
              </w:rPr>
              <w:t xml:space="preserve">____</w:t>
            </w:r>
          </w:p>
        </w:tc>
      </w:tr>
      <w:tr>
        <w:tc>
          <w:tcPr>
            <w:tcW w:type="dxa" w:w="3200"/>
            <w:tcBorders>
              <w:top w:val="single" w:color="CBD5E0" w:sz="1"/>
              <w:left w:val="single" w:color="CBD5E0" w:sz="1"/>
              <w:bottom w:val="single" w:color="CBD5E0" w:sz="1"/>
              <w:right w:val="single" w:color="CBD5E0" w:sz="1"/>
            </w:tcBorders>
            <w:shd w:fill="FFFFFF" w:val="clear"/>
            <w:tcMar>
              <w:top w:type="dxa" w:w="100"/>
              <w:left w:type="dxa" w:w="140"/>
              <w:bottom w:type="dxa" w:w="100"/>
              <w:right w:type="dxa" w:w="140"/>
            </w:tcMar>
          </w:tcPr>
          <w:p>
            <w:pPr>
              <w:spacing w:after="40" w:before="0" w:line="300"/>
              <w:jc w:val="left"/>
            </w:pPr>
            <w:r>
              <w:rPr>
                <w:rFonts w:ascii="Arial" w:cs="Arial" w:eastAsia="Arial" w:hAnsi="Arial"/>
                <w:b/>
                <w:bCs/>
                <w:color w:val="1A202C"/>
                <w:sz w:val="20"/>
                <w:szCs w:val="20"/>
              </w:rPr>
              <w:t xml:space="preserve">Training &amp; Support</w:t>
            </w:r>
          </w:p>
        </w:tc>
        <w:tc>
          <w:tcPr>
            <w:tcW w:type="dxa" w:w="2700"/>
            <w:tcBorders>
              <w:top w:val="single" w:color="CBD5E0" w:sz="1"/>
              <w:left w:val="single" w:color="CBD5E0" w:sz="1"/>
              <w:bottom w:val="single" w:color="CBD5E0" w:sz="1"/>
              <w:right w:val="single" w:color="CBD5E0" w:sz="1"/>
            </w:tcBorders>
            <w:shd w:fill="FFFFFF" w:val="clear"/>
            <w:tcMar>
              <w:top w:type="dxa" w:w="100"/>
              <w:left w:type="dxa" w:w="140"/>
              <w:bottom w:type="dxa" w:w="100"/>
              <w:right w:type="dxa" w:w="140"/>
            </w:tcMar>
          </w:tcPr>
          <w:p>
            <w:pPr>
              <w:spacing w:after="40" w:before="0" w:line="300"/>
              <w:jc w:val="left"/>
            </w:pPr>
            <w:r>
              <w:rPr>
                <w:rFonts w:ascii="Arial" w:cs="Arial" w:eastAsia="Arial" w:hAnsi="Arial"/>
                <w:color w:val="1A202C"/>
                <w:sz w:val="20"/>
                <w:szCs w:val="20"/>
              </w:rPr>
              <w:t xml:space="preserve">Onboarding, documentation, SLA</w:t>
            </w:r>
          </w:p>
        </w:tc>
        <w:tc>
          <w:tcPr>
            <w:tcW w:type="dxa" w:w="1730"/>
            <w:tcBorders>
              <w:top w:val="single" w:color="CBD5E0" w:sz="1"/>
              <w:left w:val="single" w:color="CBD5E0" w:sz="1"/>
              <w:bottom w:val="single" w:color="CBD5E0" w:sz="1"/>
              <w:right w:val="single" w:color="CBD5E0" w:sz="1"/>
            </w:tcBorders>
            <w:shd w:fill="FFFFFF" w:val="clear"/>
            <w:tcMar>
              <w:top w:type="dxa" w:w="100"/>
              <w:left w:type="dxa" w:w="140"/>
              <w:bottom w:type="dxa" w:w="100"/>
              <w:right w:type="dxa" w:w="140"/>
            </w:tcMar>
          </w:tcPr>
          <w:p>
            <w:pPr>
              <w:spacing w:after="40" w:before="0" w:line="300"/>
              <w:jc w:val="center"/>
            </w:pPr>
            <w:r>
              <w:rPr>
                <w:rFonts w:ascii="Arial" w:cs="Arial" w:eastAsia="Arial" w:hAnsi="Arial"/>
                <w:color w:val="1A202C"/>
                <w:sz w:val="20"/>
                <w:szCs w:val="20"/>
              </w:rPr>
              <w:t xml:space="preserve">Medium</w:t>
            </w:r>
          </w:p>
        </w:tc>
        <w:tc>
          <w:tcPr>
            <w:tcW w:type="dxa" w:w="1730"/>
            <w:tcBorders>
              <w:top w:val="single" w:color="CBD5E0" w:sz="1"/>
              <w:left w:val="single" w:color="CBD5E0" w:sz="1"/>
              <w:bottom w:val="single" w:color="CBD5E0" w:sz="1"/>
              <w:right w:val="single" w:color="CBD5E0" w:sz="1"/>
            </w:tcBorders>
            <w:shd w:fill="FFFFFF" w:val="clear"/>
            <w:tcMar>
              <w:top w:type="dxa" w:w="100"/>
              <w:left w:type="dxa" w:w="140"/>
              <w:bottom w:type="dxa" w:w="100"/>
              <w:right w:type="dxa" w:w="140"/>
            </w:tcMar>
          </w:tcPr>
          <w:p>
            <w:pPr>
              <w:spacing w:after="40" w:before="0" w:line="300"/>
              <w:jc w:val="center"/>
            </w:pPr>
            <w:r>
              <w:rPr>
                <w:rFonts w:ascii="Arial" w:cs="Arial" w:eastAsia="Arial" w:hAnsi="Arial"/>
                <w:color w:val="718096"/>
                <w:sz w:val="20"/>
                <w:szCs w:val="20"/>
              </w:rPr>
              <w:t xml:space="preserve">____</w:t>
            </w:r>
          </w:p>
        </w:tc>
      </w:tr>
    </w:tbl>
    <w:p>
      <w:pPr>
        <w:pBdr>
          <w:bottom w:val="single" w:color="CBD5E0" w:sz="2" w:space="1"/>
        </w:pBdr>
        <w:spacing w:after="200" w:before="200"/>
      </w:pPr>
    </w:p>
    <w:p>
      <w:pPr>
        <w:pStyle w:val="Heading1"/>
      </w:pPr>
      <w:r>
        <w:t xml:space="preserve">Implementation: A 90-Day Framework</w:t>
      </w:r>
    </w:p>
    <w:p>
      <w:pPr>
        <w:spacing w:after="200" w:before="0" w:line="300"/>
        <w:jc w:val="left"/>
      </w:pPr>
      <w:r>
        <w:rPr>
          <w:rFonts w:ascii="Arial" w:cs="Arial" w:eastAsia="Arial" w:hAnsi="Arial"/>
          <w:color w:val="1A202C"/>
          <w:sz w:val="22"/>
          <w:szCs w:val="22"/>
        </w:rPr>
        <w:t xml:space="preserve">Moving from evaluation to governed deployment requires structured execution. The following 90-day framework provides a practical implementation roadmap.</w:t>
      </w:r>
    </w:p>
    <w:p>
      <w:pPr>
        <w:pStyle w:val="Heading2"/>
      </w:pPr>
      <w:r>
        <w:t xml:space="preserve">Days 1–30: Foundation</w:t>
      </w:r>
    </w:p>
    <w:p>
      <w:pPr>
        <w:pStyle w:val="ListParagraph"/>
        <w:numPr>
          <w:ilvl w:val="0"/>
          <w:numId w:val="2"/>
        </w:numPr>
        <w:spacing w:after="120" w:line="280"/>
      </w:pPr>
      <w:r>
        <w:rPr>
          <w:rFonts w:ascii="Arial" w:cs="Arial" w:eastAsia="Arial" w:hAnsi="Arial"/>
          <w:sz w:val="22"/>
          <w:szCs w:val="22"/>
        </w:rPr>
        <w:t xml:space="preserve">Draft or update firm AI usage policy addressing all six ABA Formal Opinion 512 obligation areas.</w:t>
      </w:r>
    </w:p>
    <w:p>
      <w:pPr>
        <w:pStyle w:val="ListParagraph"/>
        <w:numPr>
          <w:ilvl w:val="0"/>
          <w:numId w:val="2"/>
        </w:numPr>
        <w:spacing w:after="120" w:line="280"/>
      </w:pPr>
      <w:r>
        <w:rPr>
          <w:rFonts w:ascii="Arial" w:cs="Arial" w:eastAsia="Arial" w:hAnsi="Arial"/>
          <w:sz w:val="22"/>
          <w:szCs w:val="22"/>
        </w:rPr>
        <w:t xml:space="preserve">Circulate the vendor evaluation scorecard to all stakeholders involved in procurement.</w:t>
      </w:r>
    </w:p>
    <w:p>
      <w:pPr>
        <w:pStyle w:val="ListParagraph"/>
        <w:numPr>
          <w:ilvl w:val="0"/>
          <w:numId w:val="2"/>
        </w:numPr>
        <w:spacing w:after="120" w:line="280"/>
      </w:pPr>
      <w:r>
        <w:rPr>
          <w:rFonts w:ascii="Arial" w:cs="Arial" w:eastAsia="Arial" w:hAnsi="Arial"/>
          <w:sz w:val="22"/>
          <w:szCs w:val="22"/>
        </w:rPr>
        <w:t xml:space="preserve">Issue formal due diligence questionnaires to shortlisted vendors covering all three foundational questions.</w:t>
      </w:r>
    </w:p>
    <w:p>
      <w:pPr>
        <w:pStyle w:val="ListParagraph"/>
        <w:numPr>
          <w:ilvl w:val="0"/>
          <w:numId w:val="2"/>
        </w:numPr>
        <w:spacing w:after="120" w:line="280"/>
      </w:pPr>
      <w:r>
        <w:rPr>
          <w:rFonts w:ascii="Arial" w:cs="Arial" w:eastAsia="Arial" w:hAnsi="Arial"/>
          <w:sz w:val="22"/>
          <w:szCs w:val="22"/>
        </w:rPr>
        <w:t xml:space="preserve">Review and update engagement letter language to address AI-assisted legal work and client consent requirements.</w:t>
      </w:r>
    </w:p>
    <w:p>
      <w:pPr>
        <w:pStyle w:val="Heading2"/>
      </w:pPr>
      <w:r>
        <w:t xml:space="preserve">Days 31–60: Evaluation</w:t>
      </w:r>
    </w:p>
    <w:p>
      <w:pPr>
        <w:pStyle w:val="ListParagraph"/>
        <w:numPr>
          <w:ilvl w:val="0"/>
          <w:numId w:val="2"/>
        </w:numPr>
        <w:spacing w:after="120" w:line="280"/>
      </w:pPr>
      <w:r>
        <w:rPr>
          <w:rFonts w:ascii="Arial" w:cs="Arial" w:eastAsia="Arial" w:hAnsi="Arial"/>
          <w:sz w:val="22"/>
          <w:szCs w:val="22"/>
        </w:rPr>
        <w:t xml:space="preserve">Score vendor responses using the evaluation scorecard; disqualify vendors failing critical thresholds.</w:t>
      </w:r>
    </w:p>
    <w:p>
      <w:pPr>
        <w:pStyle w:val="ListParagraph"/>
        <w:numPr>
          <w:ilvl w:val="0"/>
          <w:numId w:val="2"/>
        </w:numPr>
        <w:spacing w:after="120" w:line="280"/>
      </w:pPr>
      <w:r>
        <w:rPr>
          <w:rFonts w:ascii="Arial" w:cs="Arial" w:eastAsia="Arial" w:hAnsi="Arial"/>
          <w:sz w:val="22"/>
          <w:szCs w:val="22"/>
        </w:rPr>
        <w:t xml:space="preserve">Conduct pilot testing with non-client data to evaluate accuracy, workflow integration, and usability.</w:t>
      </w:r>
    </w:p>
    <w:p>
      <w:pPr>
        <w:pStyle w:val="ListParagraph"/>
        <w:numPr>
          <w:ilvl w:val="0"/>
          <w:numId w:val="2"/>
        </w:numPr>
        <w:spacing w:after="120" w:line="280"/>
      </w:pPr>
      <w:r>
        <w:rPr>
          <w:rFonts w:ascii="Arial" w:cs="Arial" w:eastAsia="Arial" w:hAnsi="Arial"/>
          <w:sz w:val="22"/>
          <w:szCs w:val="22"/>
        </w:rPr>
        <w:t xml:space="preserve">Negotiate contract terms addressing data residency, training exclusions, exit rights, and liability provisions.</w:t>
      </w:r>
    </w:p>
    <w:p>
      <w:pPr>
        <w:pStyle w:val="ListParagraph"/>
        <w:numPr>
          <w:ilvl w:val="0"/>
          <w:numId w:val="2"/>
        </w:numPr>
        <w:spacing w:after="120" w:line="280"/>
      </w:pPr>
      <w:r>
        <w:rPr>
          <w:rFonts w:ascii="Arial" w:cs="Arial" w:eastAsia="Arial" w:hAnsi="Arial"/>
          <w:sz w:val="22"/>
          <w:szCs w:val="22"/>
        </w:rPr>
        <w:t xml:space="preserve">Obtain written vendor certifications on data handling, training exclusions, and deletion protocols.</w:t>
      </w:r>
    </w:p>
    <w:p>
      <w:pPr>
        <w:pStyle w:val="Heading2"/>
      </w:pPr>
      <w:r>
        <w:t xml:space="preserve">Days 61–90: Deployment</w:t>
      </w:r>
    </w:p>
    <w:p>
      <w:pPr>
        <w:pStyle w:val="ListParagraph"/>
        <w:numPr>
          <w:ilvl w:val="0"/>
          <w:numId w:val="2"/>
        </w:numPr>
        <w:spacing w:after="120" w:line="280"/>
      </w:pPr>
      <w:r>
        <w:rPr>
          <w:rFonts w:ascii="Arial" w:cs="Arial" w:eastAsia="Arial" w:hAnsi="Arial"/>
          <w:sz w:val="22"/>
          <w:szCs w:val="22"/>
        </w:rPr>
        <w:t xml:space="preserve">Conduct all-staff training covering ethical obligations, practical usage guidelines, and verification workflows.</w:t>
      </w:r>
    </w:p>
    <w:p>
      <w:pPr>
        <w:pStyle w:val="ListParagraph"/>
        <w:numPr>
          <w:ilvl w:val="0"/>
          <w:numId w:val="2"/>
        </w:numPr>
        <w:spacing w:after="120" w:line="280"/>
      </w:pPr>
      <w:r>
        <w:rPr>
          <w:rFonts w:ascii="Arial" w:cs="Arial" w:eastAsia="Arial" w:hAnsi="Arial"/>
          <w:sz w:val="22"/>
          <w:szCs w:val="22"/>
        </w:rPr>
        <w:t xml:space="preserve">Deploy with monitoring enabled; establish usage logging and periodic audit schedule.</w:t>
      </w:r>
    </w:p>
    <w:p>
      <w:pPr>
        <w:pStyle w:val="ListParagraph"/>
        <w:numPr>
          <w:ilvl w:val="0"/>
          <w:numId w:val="2"/>
        </w:numPr>
        <w:spacing w:after="120" w:line="280"/>
      </w:pPr>
      <w:r>
        <w:rPr>
          <w:rFonts w:ascii="Arial" w:cs="Arial" w:eastAsia="Arial" w:hAnsi="Arial"/>
          <w:sz w:val="22"/>
          <w:szCs w:val="22"/>
        </w:rPr>
        <w:t xml:space="preserve">Schedule 90-day post-deployment review to evaluate vendor performance, compliance, and staff adoption.</w:t>
      </w:r>
    </w:p>
    <w:p>
      <w:pPr>
        <w:pStyle w:val="ListParagraph"/>
        <w:numPr>
          <w:ilvl w:val="0"/>
          <w:numId w:val="2"/>
        </w:numPr>
        <w:spacing w:after="120" w:line="280"/>
      </w:pPr>
      <w:r>
        <w:rPr>
          <w:rFonts w:ascii="Arial" w:cs="Arial" w:eastAsia="Arial" w:hAnsi="Arial"/>
          <w:sz w:val="22"/>
          <w:szCs w:val="22"/>
        </w:rPr>
        <w:t xml:space="preserve">Establish annual vendor re-evaluation cadence aligned with SOC 2 report renewal cycles.</w:t>
      </w:r>
    </w:p>
    <w:p>
      <w:pPr>
        <w:pBdr>
          <w:bottom w:val="single" w:color="CBD5E0" w:sz="2" w:space="1"/>
        </w:pBdr>
        <w:spacing w:after="200" w:before="200"/>
      </w:pPr>
    </w:p>
    <w:p>
      <w:pPr>
        <w:pStyle w:val="Heading1"/>
      </w:pPr>
      <w:r>
        <w:t xml:space="preserve">Conclusion</w:t>
      </w:r>
    </w:p>
    <w:p>
      <w:pPr>
        <w:spacing w:after="200" w:before="0" w:line="300"/>
        <w:jc w:val="left"/>
      </w:pPr>
      <w:r>
        <w:rPr>
          <w:rFonts w:ascii="Arial" w:cs="Arial" w:eastAsia="Arial" w:hAnsi="Arial"/>
          <w:color w:val="1A202C"/>
          <w:sz w:val="22"/>
          <w:szCs w:val="22"/>
        </w:rPr>
        <w:t xml:space="preserve">The attorneys who will thrive in the AI-augmented legal landscape are not those who adopt fastest—they are those who adopt most deliberately. Vendor due diligence is not an obstacle to AI adoption; it is the foundation that makes responsible adoption sustainable.</w:t>
      </w:r>
    </w:p>
    <w:p>
      <w:pPr>
        <w:spacing w:after="200" w:before="0" w:line="300"/>
        <w:jc w:val="left"/>
      </w:pPr>
      <w:r>
        <w:rPr>
          <w:rFonts w:ascii="Arial" w:cs="Arial" w:eastAsia="Arial" w:hAnsi="Arial"/>
          <w:color w:val="1A202C"/>
          <w:sz w:val="22"/>
          <w:szCs w:val="22"/>
        </w:rPr>
        <w:t xml:space="preserve">These three foundational questions—where is our data, who trains on it, and what happens when we leave—are not bureaucratic formalities. They are the questions that separate vendors who understand the professional obligations of legal practice from those who view law firms as another vertical to monetize. Ask them early, demand specificity, and treat evasive answers as the disqualifiers they are.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sz="0"/>
              <w:left w:val="single" w:color="2A9D8F" w:sz="12"/>
              <w:bottom w:val="none" w:sz="0"/>
              <w:right w:val="none" w:sz="0"/>
            </w:tcBorders>
            <w:shd w:fill="E6F6F4" w:val="clear"/>
            <w:tcMar>
              <w:top w:type="dxa" w:w="160"/>
              <w:left w:type="dxa" w:w="240"/>
              <w:bottom w:type="dxa" w:w="160"/>
              <w:right w:type="dxa" w:w="240"/>
            </w:tcMar>
          </w:tcPr>
          <w:p>
            <w:pPr>
              <w:spacing w:after="200" w:before="0" w:line="300"/>
              <w:jc w:val="left"/>
            </w:pPr>
            <w:r>
              <w:rPr>
                <w:rFonts w:ascii="Arial" w:cs="Arial" w:eastAsia="Arial" w:hAnsi="Arial"/>
                <w:b/>
                <w:bCs/>
                <w:color w:val="1B2A4A"/>
                <w:sz w:val="22"/>
                <w:szCs w:val="22"/>
              </w:rPr>
              <w:t xml:space="preserve">About LegalTek.ai: </w:t>
            </w:r>
            <w:r>
              <w:rPr>
                <w:rFonts w:ascii="Arial" w:cs="Arial" w:eastAsia="Arial" w:hAnsi="Arial"/>
                <w:color w:val="1A202C"/>
                <w:sz w:val="22"/>
                <w:szCs w:val="22"/>
              </w:rPr>
              <w:t xml:space="preserve">LegalTek.ai (d/b/a SilverTung) is building AI-powered legal practice management and document automation tools designed from the ground up for the ethical obligations of legal practice. Our COUNSEL governance framework maps every ABA Model Rule to specific AI system checkpoints, and our G3M framework operationalizes NIST AI Risk Management guidance for legal technology. We believe responsible AI begins with transparent vendor practices—which is why we wrote this guide.</w:t>
            </w:r>
          </w:p>
        </w:tc>
      </w:tr>
    </w:tbl>
    <w:p>
      <w:pPr>
        <w:spacing w:after="200" w:before="0" w:line="300"/>
        <w:jc w:val="left"/>
      </w:pPr>
      <w:r>
        <w:rPr>
          <w:rFonts w:ascii="Arial" w:cs="Arial" w:eastAsia="Arial" w:hAnsi="Arial"/>
          <w:color w:val="1A202C"/>
          <w:sz w:val="22"/>
          <w:szCs w:val="22"/>
        </w:rPr>
        <w:t xml:space="preserve"/>
      </w:r>
    </w:p>
    <w:p>
      <w:pPr>
        <w:spacing w:after="60"/>
        <w:jc w:val="center"/>
      </w:pPr>
      <w:r>
        <w:rPr>
          <w:rFonts w:ascii="Arial" w:cs="Arial" w:eastAsia="Arial" w:hAnsi="Arial"/>
          <w:b/>
          <w:bCs/>
          <w:color w:val="1B2A4A"/>
          <w:sz w:val="22"/>
          <w:szCs w:val="22"/>
        </w:rPr>
        <w:t xml:space="preserve">Matt Mishak, Esq.</w:t>
      </w:r>
    </w:p>
    <w:p>
      <w:pPr>
        <w:spacing w:after="60"/>
        <w:jc w:val="center"/>
      </w:pPr>
      <w:r>
        <w:rPr>
          <w:rFonts w:ascii="Arial" w:cs="Arial" w:eastAsia="Arial" w:hAnsi="Arial"/>
          <w:color w:val="718096"/>
          <w:sz w:val="20"/>
          <w:szCs w:val="20"/>
        </w:rPr>
        <w:t xml:space="preserve">Founder &amp; CEO, LegalTek.ai LLC  |  Managing Attorney, Mishak Law LLC</w:t>
      </w:r>
    </w:p>
    <w:p>
      <w:pPr>
        <w:spacing w:after="60"/>
        <w:jc w:val="center"/>
      </w:pPr>
      <w:r>
        <w:rPr>
          <w:rFonts w:ascii="Arial" w:cs="Arial" w:eastAsia="Arial" w:hAnsi="Arial"/>
          <w:color w:val="2A9D8F"/>
          <w:sz w:val="20"/>
          <w:szCs w:val="20"/>
        </w:rPr>
        <w:t xml:space="preserve">legaltek.ai  |  linkedin.com/in/mattmishak</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BD5E0" w:sz="1" w:space="4"/>
      </w:pBdr>
      <w:tabs>
        <w:tab w:val="right" w:pos="9026"/>
      </w:tabs>
    </w:pPr>
    <w:r>
      <w:rPr>
        <w:rFonts w:ascii="Arial" w:cs="Arial" w:eastAsia="Arial" w:hAnsi="Arial"/>
        <w:color w:val="718096"/>
        <w:sz w:val="16"/>
        <w:szCs w:val="16"/>
      </w:rPr>
      <w:t xml:space="preserve">© 2026 LegalTek.ai LLC. All rights reserved.</w:t>
    </w:r>
    <w:r>
      <w:rPr>
        <w:rFonts w:ascii="Arial" w:cs="Arial" w:eastAsia="Arial" w:hAnsi="Arial"/>
        <w:color w:val="718096"/>
        <w:sz w:val="16"/>
        <w:szCs w:val="16"/>
      </w:rPr>
      <w:t xml:space="preserve">	Page </w:t>
    </w:r>
    <w:r>
      <w:rPr>
        <w:rFonts w:ascii="Arial" w:cs="Arial" w:eastAsia="Arial" w:hAnsi="Arial"/>
        <w:color w:val="71809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spacing w:after="200" w:before="0" w:line="300"/>
        <w:jc w:val="left"/>
      </w:pPr>
      <w:r>
        <w:rPr>
          <w:rStyle w:val="FootnoteReference"/>
        </w:rPr>
        <w:footnoteRef/>
      </w:r>
      <w:r>
        <w:rPr>
          <w:rFonts w:ascii="Arial" w:cs="Arial" w:eastAsia="Arial" w:hAnsi="Arial"/>
          <w:color w:val="718096"/>
          <w:sz w:val="18"/>
          <w:szCs w:val="18"/>
        </w:rPr>
        <w:t xml:space="preserve">ABA Standing Committee on Ethics and Professional Responsibility, Formal Opinion 512, “Generative Artificial Intelligence Tools” (July 29, 2024).</w:t>
      </w:r>
    </w:p>
  </w:footnote>
  <w:footnote w:id="2">
    <w:p>
      <w:pPr>
        <w:spacing w:after="200" w:before="0" w:line="300"/>
        <w:jc w:val="left"/>
      </w:pPr>
      <w:r>
        <w:rPr>
          <w:rStyle w:val="FootnoteReference"/>
        </w:rPr>
        <w:footnoteRef/>
      </w:r>
      <w:r>
        <w:rPr>
          <w:rFonts w:ascii="Arial" w:cs="Arial" w:eastAsia="Arial" w:hAnsi="Arial"/>
          <w:color w:val="718096"/>
          <w:sz w:val="18"/>
          <w:szCs w:val="18"/>
        </w:rPr>
        <w:t xml:space="preserve">Colin S. Levy, “Three Questions Every Legal Team Should Ask Their AI Vendor,” colinslevy.com (Feb. 8, 2025).</w:t>
      </w:r>
    </w:p>
  </w:footnote>
  <w:footnote w:id="3">
    <w:p>
      <w:pPr>
        <w:spacing w:after="200" w:before="0" w:line="300"/>
        <w:jc w:val="left"/>
      </w:pPr>
      <w:r>
        <w:rPr>
          <w:rStyle w:val="FootnoteReference"/>
        </w:rPr>
        <w:footnoteRef/>
      </w:r>
      <w:r>
        <w:rPr>
          <w:rFonts w:ascii="Arial" w:cs="Arial" w:eastAsia="Arial" w:hAnsi="Arial"/>
          <w:color w:val="718096"/>
          <w:sz w:val="18"/>
          <w:szCs w:val="18"/>
        </w:rPr>
        <w:t xml:space="preserve">EU AI Act, Regulation (EU) 2024/1689, Article 53(1)(d); GPAI transparency obligations effective August 2, 2025.</w:t>
      </w:r>
    </w:p>
  </w:footnote>
  <w:footnote w:id="4">
    <w:p>
      <w:pPr>
        <w:spacing w:after="200" w:before="0" w:line="300"/>
        <w:jc w:val="left"/>
      </w:pPr>
      <w:r>
        <w:rPr>
          <w:rStyle w:val="FootnoteReference"/>
        </w:rPr>
        <w:footnoteRef/>
      </w:r>
      <w:r>
        <w:rPr>
          <w:rFonts w:ascii="Arial" w:cs="Arial" w:eastAsia="Arial" w:hAnsi="Arial"/>
          <w:color w:val="718096"/>
          <w:sz w:val="18"/>
          <w:szCs w:val="18"/>
        </w:rPr>
        <w:t xml:space="preserve">California AB 2013, effective January 1, 2026, mandating disclosure of AI training datasets.</w:t>
      </w:r>
    </w:p>
  </w:footnote>
  <w:footnote w:id="5">
    <w:p>
      <w:pPr>
        <w:spacing w:after="200" w:before="0" w:line="300"/>
        <w:jc w:val="left"/>
      </w:pPr>
      <w:r>
        <w:rPr>
          <w:rStyle w:val="FootnoteReference"/>
        </w:rPr>
        <w:footnoteRef/>
      </w:r>
      <w:r>
        <w:rPr>
          <w:rFonts w:ascii="Arial" w:cs="Arial" w:eastAsia="Arial" w:hAnsi="Arial"/>
          <w:color w:val="718096"/>
          <w:sz w:val="18"/>
          <w:szCs w:val="18"/>
        </w:rPr>
        <w:t xml:space="preserve">Ohio Rules of Professional Conduct, Rule 1.1, Comment [8] (duty of technological competence).</w:t>
      </w:r>
    </w:p>
  </w:footnote>
  <w:footnote w:id="6">
    <w:p>
      <w:pPr>
        <w:spacing w:after="200" w:before="0" w:line="300"/>
        <w:jc w:val="left"/>
      </w:pPr>
      <w:r>
        <w:rPr>
          <w:rStyle w:val="FootnoteReference"/>
        </w:rPr>
        <w:footnoteRef/>
      </w:r>
      <w:r>
        <w:rPr>
          <w:rFonts w:ascii="Arial" w:cs="Arial" w:eastAsia="Arial" w:hAnsi="Arial"/>
          <w:color w:val="718096"/>
          <w:sz w:val="18"/>
          <w:szCs w:val="18"/>
        </w:rPr>
        <w:t xml:space="preserve">ABA Formal Op. 512 at 5–6 (discussing Model Rule 1.6 confidentiality obligations with GAI tools).</w:t>
      </w:r>
    </w:p>
  </w:footnote>
  <w:footnote w:id="7">
    <w:p>
      <w:pPr>
        <w:spacing w:after="200" w:before="0" w:line="300"/>
        <w:jc w:val="left"/>
      </w:pPr>
      <w:r>
        <w:rPr>
          <w:rStyle w:val="FootnoteReference"/>
        </w:rPr>
        <w:footnoteRef/>
      </w:r>
      <w:r>
        <w:rPr>
          <w:rFonts w:ascii="Arial" w:cs="Arial" w:eastAsia="Arial" w:hAnsi="Arial"/>
          <w:color w:val="718096"/>
          <w:sz w:val="18"/>
          <w:szCs w:val="18"/>
        </w:rPr>
        <w:t xml:space="preserve">See ABA Formal Op. 477R (2017) (discussing obligations to protect confidential information when using technology).</w:t>
      </w:r>
    </w:p>
  </w:footnote>
  <w:footnote w:id="8">
    <w:p>
      <w:pPr>
        <w:spacing w:after="200" w:before="0" w:line="300"/>
        <w:jc w:val="left"/>
      </w:pPr>
      <w:r>
        <w:rPr>
          <w:rStyle w:val="FootnoteReference"/>
        </w:rPr>
        <w:footnoteRef/>
      </w:r>
      <w:r>
        <w:rPr>
          <w:rFonts w:ascii="Arial" w:cs="Arial" w:eastAsia="Arial" w:hAnsi="Arial"/>
          <w:color w:val="718096"/>
          <w:sz w:val="18"/>
          <w:szCs w:val="18"/>
        </w:rPr>
        <w:t xml:space="preserve">CCPA, Cal. Civ. Code §§ 1798.100–1798.199.100; see also GDPR Art. 20 (data portability).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A9D8F" w:sz="2" w:space="4"/>
      </w:pBdr>
      <w:spacing w:after="0"/>
    </w:pPr>
    <w:r>
      <w:rPr>
        <w:rFonts w:ascii="Arial" w:cs="Arial" w:eastAsia="Arial" w:hAnsi="Arial"/>
        <w:b/>
        <w:bCs/>
        <w:color w:val="2A9D8F"/>
        <w:sz w:val="18"/>
        <w:szCs w:val="18"/>
      </w:rPr>
      <w:t xml:space="preserve">LegalTek.ai</w:t>
    </w:r>
    <w:r>
      <w:rPr>
        <w:rFonts w:ascii="Arial" w:cs="Arial" w:eastAsia="Arial" w:hAnsi="Arial"/>
        <w:color w:val="718096"/>
        <w:sz w:val="18"/>
        <w:szCs w:val="18"/>
      </w:rPr>
      <w:t xml:space="preserve">  •  AI Vendor Due Diligence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202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B2A4A"/>
      <w:sz w:val="36"/>
      <w:szCs w:val="36"/>
    </w:rPr>
  </w:style>
  <w:style w:type="paragraph" w:styleId="Heading2">
    <w:name w:val="Heading 2"/>
    <w:basedOn w:val="Normal"/>
    <w:next w:val="Normal"/>
    <w:qFormat/>
    <w:pPr>
      <w:spacing w:after="160" w:before="300"/>
      <w:outlineLvl w:val="1"/>
    </w:pPr>
    <w:rPr>
      <w:rFonts w:ascii="Arial" w:cs="Arial" w:eastAsia="Arial" w:hAnsi="Arial"/>
      <w:b/>
      <w:bCs/>
      <w:color w:val="2A9D8F"/>
      <w:sz w:val="28"/>
      <w:szCs w:val="28"/>
    </w:rPr>
  </w:style>
  <w:style w:type="paragraph" w:styleId="Heading3">
    <w:name w:val="Heading 3"/>
    <w:basedOn w:val="Normal"/>
    <w:next w:val="Normal"/>
    <w:qFormat/>
    <w:pPr>
      <w:spacing w:after="120" w:before="240"/>
      <w:outlineLvl w:val="2"/>
    </w:pPr>
    <w:rPr>
      <w:rFonts w:ascii="Arial" w:cs="Arial" w:eastAsia="Arial" w:hAnsi="Arial"/>
      <w:b/>
      <w:bCs/>
      <w:color w:val="1B2A4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2026-03-11T15:19:06.165Z</dcterms:created>
  <dcterms:modified xsi:type="dcterms:W3CDTF">2026-03-11T15:19:06.166Z</dcterms:modified>
</cp:coreProperties>
</file>

<file path=docProps/custom.xml><?xml version="1.0" encoding="utf-8"?>
<Properties xmlns="http://schemas.openxmlformats.org/officeDocument/2006/custom-properties" xmlns:vt="http://schemas.openxmlformats.org/officeDocument/2006/docPropsVTypes"/>
</file>